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0DA985" w14:textId="77777777" w:rsidR="006D4FF4" w:rsidRDefault="006D4FF4">
      <w:pPr>
        <w:spacing w:after="1400"/>
      </w:pPr>
    </w:p>
    <w:p w14:paraId="052D4031" w14:textId="77777777" w:rsidR="006D4FF4" w:rsidRDefault="00000000">
      <w:pPr>
        <w:spacing w:after="120"/>
      </w:pPr>
      <w:r>
        <w:rPr>
          <w:b/>
          <w:bCs/>
          <w:color w:val="A33A3A"/>
          <w:spacing w:val="40"/>
          <w:sz w:val="22"/>
          <w:szCs w:val="22"/>
        </w:rPr>
        <w:t>DOZENTENFASSUNG</w:t>
      </w:r>
    </w:p>
    <w:p w14:paraId="3404486E" w14:textId="77777777" w:rsidR="006D4FF4" w:rsidRDefault="006D4FF4">
      <w:pPr>
        <w:pBdr>
          <w:bottom w:val="single" w:sz="12" w:space="0" w:color="A33A3A"/>
        </w:pBdr>
        <w:spacing w:after="100"/>
      </w:pPr>
    </w:p>
    <w:p w14:paraId="235B7962" w14:textId="77777777" w:rsidR="006D4FF4" w:rsidRDefault="00000000">
      <w:pPr>
        <w:spacing w:before="240" w:after="160"/>
      </w:pPr>
      <w:r>
        <w:rPr>
          <w:b/>
          <w:bCs/>
          <w:sz w:val="52"/>
          <w:szCs w:val="52"/>
        </w:rPr>
        <w:t>Prüffälle KI-VO – Musterlösungen</w:t>
      </w:r>
    </w:p>
    <w:p w14:paraId="074C5AC7" w14:textId="77777777" w:rsidR="006D4FF4" w:rsidRDefault="00000000">
      <w:pPr>
        <w:spacing w:after="400"/>
      </w:pPr>
      <w:r>
        <w:rPr>
          <w:color w:val="444444"/>
          <w:sz w:val="26"/>
          <w:szCs w:val="26"/>
        </w:rPr>
        <w:t>Dozentenfassung mit Musterlösungen, Stolpersteinen und Durchführungshinweisen</w:t>
      </w:r>
    </w:p>
    <w:p w14:paraId="17434449" w14:textId="77777777" w:rsidR="006D4FF4" w:rsidRDefault="00000000">
      <w:pPr>
        <w:spacing w:after="800"/>
      </w:pPr>
      <w:r>
        <w:rPr>
          <w:b/>
          <w:bCs/>
          <w:sz w:val="22"/>
          <w:szCs w:val="22"/>
        </w:rPr>
        <w:t>Acht Prüffälle über alle Risikoklassen – zu bearbeiten mit dem Prüfraster für KI-Systeme nach der KI-Verordnung</w:t>
      </w:r>
    </w:p>
    <w:tbl>
      <w:tblPr>
        <w:tblW w:w="9638"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2600"/>
        <w:gridCol w:w="7038"/>
      </w:tblGrid>
      <w:tr w:rsidR="006D4FF4" w14:paraId="28368C50" w14:textId="77777777">
        <w:tblPrEx>
          <w:tblCellMar>
            <w:top w:w="0" w:type="dxa"/>
            <w:bottom w:w="0" w:type="dxa"/>
          </w:tblCellMar>
        </w:tblPrEx>
        <w:trPr>
          <w:tblHeader/>
        </w:trPr>
        <w:tc>
          <w:tcPr>
            <w:tcW w:w="2600" w:type="dxa"/>
            <w:shd w:val="clear" w:color="auto" w:fill="1A5FB4"/>
            <w:tcMar>
              <w:top w:w="60" w:type="dxa"/>
              <w:left w:w="100" w:type="dxa"/>
              <w:bottom w:w="60" w:type="dxa"/>
              <w:right w:w="100" w:type="dxa"/>
            </w:tcMar>
          </w:tcPr>
          <w:p w14:paraId="0A9F5CA5" w14:textId="77777777" w:rsidR="006D4FF4" w:rsidRDefault="00000000">
            <w:pPr>
              <w:spacing w:before="40" w:after="40" w:line="252" w:lineRule="auto"/>
            </w:pPr>
            <w:r>
              <w:rPr>
                <w:b/>
                <w:bCs/>
                <w:color w:val="FFFFFF"/>
                <w:sz w:val="19"/>
                <w:szCs w:val="19"/>
              </w:rPr>
              <w:t>Angabe</w:t>
            </w:r>
          </w:p>
        </w:tc>
        <w:tc>
          <w:tcPr>
            <w:tcW w:w="7038" w:type="dxa"/>
            <w:shd w:val="clear" w:color="auto" w:fill="1A5FB4"/>
            <w:tcMar>
              <w:top w:w="60" w:type="dxa"/>
              <w:left w:w="100" w:type="dxa"/>
              <w:bottom w:w="60" w:type="dxa"/>
              <w:right w:w="100" w:type="dxa"/>
            </w:tcMar>
          </w:tcPr>
          <w:p w14:paraId="1EB1DB4B" w14:textId="77777777" w:rsidR="006D4FF4" w:rsidRDefault="00000000">
            <w:pPr>
              <w:spacing w:before="40" w:after="40" w:line="252" w:lineRule="auto"/>
            </w:pPr>
            <w:r>
              <w:rPr>
                <w:b/>
                <w:bCs/>
                <w:color w:val="FFFFFF"/>
                <w:sz w:val="19"/>
                <w:szCs w:val="19"/>
              </w:rPr>
              <w:t>Inhalt</w:t>
            </w:r>
          </w:p>
        </w:tc>
      </w:tr>
      <w:tr w:rsidR="006D4FF4" w14:paraId="4E95E447" w14:textId="77777777">
        <w:tblPrEx>
          <w:tblCellMar>
            <w:top w:w="0" w:type="dxa"/>
            <w:bottom w:w="0" w:type="dxa"/>
          </w:tblCellMar>
        </w:tblPrEx>
        <w:tc>
          <w:tcPr>
            <w:tcW w:w="2600" w:type="dxa"/>
            <w:tcMar>
              <w:top w:w="60" w:type="dxa"/>
              <w:left w:w="100" w:type="dxa"/>
              <w:bottom w:w="60" w:type="dxa"/>
              <w:right w:w="100" w:type="dxa"/>
            </w:tcMar>
          </w:tcPr>
          <w:p w14:paraId="4FB19827" w14:textId="77777777" w:rsidR="006D4FF4" w:rsidRDefault="00000000">
            <w:pPr>
              <w:spacing w:before="40" w:after="40" w:line="252" w:lineRule="auto"/>
            </w:pPr>
            <w:r>
              <w:rPr>
                <w:sz w:val="19"/>
                <w:szCs w:val="19"/>
              </w:rPr>
              <w:t>Rechtsstand</w:t>
            </w:r>
          </w:p>
        </w:tc>
        <w:tc>
          <w:tcPr>
            <w:tcW w:w="7038" w:type="dxa"/>
            <w:tcMar>
              <w:top w:w="60" w:type="dxa"/>
              <w:left w:w="100" w:type="dxa"/>
              <w:bottom w:w="60" w:type="dxa"/>
              <w:right w:w="100" w:type="dxa"/>
            </w:tcMar>
          </w:tcPr>
          <w:p w14:paraId="6B26E7C2" w14:textId="77777777" w:rsidR="006D4FF4" w:rsidRDefault="00000000">
            <w:pPr>
              <w:spacing w:before="40" w:after="40" w:line="252" w:lineRule="auto"/>
            </w:pPr>
            <w:r>
              <w:rPr>
                <w:sz w:val="19"/>
                <w:szCs w:val="19"/>
              </w:rPr>
              <w:t>14. September 2026 – einschließlich der Änderungsverordnung (EU) 2026/1744 ("Digital Omnibus KI")</w:t>
            </w:r>
          </w:p>
        </w:tc>
      </w:tr>
      <w:tr w:rsidR="006D4FF4" w14:paraId="6DA6EB42" w14:textId="77777777">
        <w:tblPrEx>
          <w:tblCellMar>
            <w:top w:w="0" w:type="dxa"/>
            <w:bottom w:w="0" w:type="dxa"/>
          </w:tblCellMar>
        </w:tblPrEx>
        <w:tc>
          <w:tcPr>
            <w:tcW w:w="2600" w:type="dxa"/>
            <w:shd w:val="clear" w:color="auto" w:fill="FAFAFA"/>
            <w:tcMar>
              <w:top w:w="60" w:type="dxa"/>
              <w:left w:w="100" w:type="dxa"/>
              <w:bottom w:w="60" w:type="dxa"/>
              <w:right w:w="100" w:type="dxa"/>
            </w:tcMar>
          </w:tcPr>
          <w:p w14:paraId="676359B9" w14:textId="77777777" w:rsidR="006D4FF4" w:rsidRDefault="00000000">
            <w:pPr>
              <w:spacing w:before="40" w:after="40" w:line="252" w:lineRule="auto"/>
            </w:pPr>
            <w:r>
              <w:rPr>
                <w:sz w:val="19"/>
                <w:szCs w:val="19"/>
              </w:rPr>
              <w:t>Zielgruppe</w:t>
            </w:r>
          </w:p>
        </w:tc>
        <w:tc>
          <w:tcPr>
            <w:tcW w:w="7038" w:type="dxa"/>
            <w:shd w:val="clear" w:color="auto" w:fill="FAFAFA"/>
            <w:tcMar>
              <w:top w:w="60" w:type="dxa"/>
              <w:left w:w="100" w:type="dxa"/>
              <w:bottom w:w="60" w:type="dxa"/>
              <w:right w:w="100" w:type="dxa"/>
            </w:tcMar>
          </w:tcPr>
          <w:p w14:paraId="6975F78E" w14:textId="77777777" w:rsidR="006D4FF4" w:rsidRDefault="00000000">
            <w:pPr>
              <w:spacing w:before="40" w:after="40" w:line="252" w:lineRule="auto"/>
            </w:pPr>
            <w:r>
              <w:rPr>
                <w:sz w:val="19"/>
                <w:szCs w:val="19"/>
              </w:rPr>
              <w:t>Sachbearbeiterinnen und Sachbearbeiter in kommunalen Behörden in Bayern</w:t>
            </w:r>
          </w:p>
        </w:tc>
      </w:tr>
      <w:tr w:rsidR="006D4FF4" w14:paraId="2D81B9E1" w14:textId="77777777">
        <w:tblPrEx>
          <w:tblCellMar>
            <w:top w:w="0" w:type="dxa"/>
            <w:bottom w:w="0" w:type="dxa"/>
          </w:tblCellMar>
        </w:tblPrEx>
        <w:tc>
          <w:tcPr>
            <w:tcW w:w="2600" w:type="dxa"/>
            <w:tcMar>
              <w:top w:w="60" w:type="dxa"/>
              <w:left w:w="100" w:type="dxa"/>
              <w:bottom w:w="60" w:type="dxa"/>
              <w:right w:w="100" w:type="dxa"/>
            </w:tcMar>
          </w:tcPr>
          <w:p w14:paraId="379C39AA" w14:textId="77777777" w:rsidR="006D4FF4" w:rsidRDefault="00000000">
            <w:pPr>
              <w:spacing w:before="40" w:after="40" w:line="252" w:lineRule="auto"/>
            </w:pPr>
            <w:r>
              <w:rPr>
                <w:sz w:val="19"/>
                <w:szCs w:val="19"/>
              </w:rPr>
              <w:t>Arbeitsmittel</w:t>
            </w:r>
          </w:p>
        </w:tc>
        <w:tc>
          <w:tcPr>
            <w:tcW w:w="7038" w:type="dxa"/>
            <w:tcMar>
              <w:top w:w="60" w:type="dxa"/>
              <w:left w:w="100" w:type="dxa"/>
              <w:bottom w:w="60" w:type="dxa"/>
              <w:right w:w="100" w:type="dxa"/>
            </w:tcMar>
          </w:tcPr>
          <w:p w14:paraId="7F5CFDCE" w14:textId="77777777" w:rsidR="006D4FF4" w:rsidRDefault="00000000">
            <w:pPr>
              <w:spacing w:before="40" w:after="40" w:line="252" w:lineRule="auto"/>
            </w:pPr>
            <w:r>
              <w:rPr>
                <w:sz w:val="19"/>
                <w:szCs w:val="19"/>
              </w:rPr>
              <w:t>Arbeitshilfe "Prüfraster für KI-Systeme nach der KI-Verordnung", insbesondere Teil B</w:t>
            </w:r>
          </w:p>
        </w:tc>
      </w:tr>
      <w:tr w:rsidR="006D4FF4" w14:paraId="06E4BD7A" w14:textId="77777777">
        <w:tblPrEx>
          <w:tblCellMar>
            <w:top w:w="0" w:type="dxa"/>
            <w:bottom w:w="0" w:type="dxa"/>
          </w:tblCellMar>
        </w:tblPrEx>
        <w:tc>
          <w:tcPr>
            <w:tcW w:w="2600" w:type="dxa"/>
            <w:shd w:val="clear" w:color="auto" w:fill="FAFAFA"/>
            <w:tcMar>
              <w:top w:w="60" w:type="dxa"/>
              <w:left w:w="100" w:type="dxa"/>
              <w:bottom w:w="60" w:type="dxa"/>
              <w:right w:w="100" w:type="dxa"/>
            </w:tcMar>
          </w:tcPr>
          <w:p w14:paraId="64C4B1BF" w14:textId="77777777" w:rsidR="006D4FF4" w:rsidRDefault="00000000">
            <w:pPr>
              <w:spacing w:before="40" w:after="40" w:line="252" w:lineRule="auto"/>
            </w:pPr>
            <w:r>
              <w:rPr>
                <w:sz w:val="19"/>
                <w:szCs w:val="19"/>
              </w:rPr>
              <w:t>Aufbau</w:t>
            </w:r>
          </w:p>
        </w:tc>
        <w:tc>
          <w:tcPr>
            <w:tcW w:w="7038" w:type="dxa"/>
            <w:shd w:val="clear" w:color="auto" w:fill="FAFAFA"/>
            <w:tcMar>
              <w:top w:w="60" w:type="dxa"/>
              <w:left w:w="100" w:type="dxa"/>
              <w:bottom w:w="60" w:type="dxa"/>
              <w:right w:w="100" w:type="dxa"/>
            </w:tcMar>
          </w:tcPr>
          <w:p w14:paraId="68E3D163" w14:textId="77777777" w:rsidR="006D4FF4" w:rsidRDefault="00000000">
            <w:pPr>
              <w:spacing w:before="40" w:after="40" w:line="252" w:lineRule="auto"/>
            </w:pPr>
            <w:r>
              <w:rPr>
                <w:sz w:val="19"/>
                <w:szCs w:val="19"/>
              </w:rPr>
              <w:t>Zehn identische Fragen je Prüffall, orientiert an den Schritten 1 bis 10 des Prüfrasters</w:t>
            </w:r>
          </w:p>
        </w:tc>
      </w:tr>
    </w:tbl>
    <w:p w14:paraId="6B326A47" w14:textId="2B425716" w:rsidR="005F785E" w:rsidRDefault="005F785E" w:rsidP="005F785E">
      <w:pPr>
        <w:rPr>
          <w:i/>
          <w:color w:val="FF0000"/>
          <w:sz w:val="18"/>
        </w:rPr>
      </w:pPr>
      <w:r>
        <w:rPr>
          <w:i/>
          <w:iCs/>
          <w:color w:val="666666"/>
          <w:sz w:val="18"/>
          <w:szCs w:val="18"/>
        </w:rPr>
        <w:br/>
      </w:r>
      <w:r w:rsidR="00000000">
        <w:rPr>
          <w:i/>
          <w:iCs/>
          <w:color w:val="666666"/>
          <w:sz w:val="18"/>
          <w:szCs w:val="18"/>
        </w:rPr>
        <w:t>Nur für den Dozentengebrauch. Die Musterlösungen geben eine vertretbare Auffassung wieder; zu mehreren Punkten sind andere Ergebnisse gut begründbar – gerade darin liegt der didaktische Wert der Fälle. Alle Sachverhalte sind frei erfunden.</w:t>
      </w:r>
    </w:p>
    <w:p w14:paraId="1E24F8EC" w14:textId="77777777" w:rsidR="006D4FF4" w:rsidRPr="005F785E" w:rsidRDefault="00000000">
      <w:pPr>
        <w:pStyle w:val="berschrift1"/>
        <w:keepNext/>
        <w:spacing w:before="360" w:after="180"/>
        <w:rPr>
          <w:u w:val="single"/>
        </w:rPr>
      </w:pPr>
      <w:bookmarkStart w:id="0" w:name="_Toc240324987"/>
      <w:r w:rsidRPr="005F785E">
        <w:rPr>
          <w:b/>
          <w:bCs/>
          <w:color w:val="1A5FB4"/>
          <w:sz w:val="30"/>
          <w:szCs w:val="30"/>
          <w:u w:val="single"/>
        </w:rPr>
        <w:t>Hinweise zur Durchführung</w:t>
      </w:r>
      <w:bookmarkEnd w:id="0"/>
    </w:p>
    <w:p w14:paraId="0B6E3F2B" w14:textId="73263147" w:rsidR="006D4FF4" w:rsidRDefault="00000000">
      <w:pPr>
        <w:spacing w:after="120"/>
      </w:pPr>
      <w:r>
        <w:t xml:space="preserve">Diese Dozentenfassung enthält zu jedem der acht Prüffälle eine ausformulierte Musterlösung entlang desselben Fragenkatalogs, die </w:t>
      </w:r>
      <w:r w:rsidR="005F785E">
        <w:t>zu erwartende Stolpersteine</w:t>
      </w:r>
      <w:r>
        <w:t xml:space="preserve"> sowie das Ergebnis in einem Satz. Die Teilnehmerfassung enthält ausschließlich Sachverhalte und Fragen.</w:t>
      </w:r>
    </w:p>
    <w:p w14:paraId="1F7A0866" w14:textId="77777777" w:rsidR="006D4FF4" w:rsidRPr="005F785E" w:rsidRDefault="00000000">
      <w:pPr>
        <w:pStyle w:val="berschrift2"/>
        <w:keepNext/>
        <w:spacing w:before="280" w:after="140"/>
        <w:rPr>
          <w:u w:val="single"/>
        </w:rPr>
      </w:pPr>
      <w:bookmarkStart w:id="1" w:name="_Toc240324988"/>
      <w:r w:rsidRPr="005F785E">
        <w:rPr>
          <w:b/>
          <w:bCs/>
          <w:color w:val="1A5FB4"/>
          <w:sz w:val="25"/>
          <w:szCs w:val="25"/>
          <w:u w:val="single"/>
        </w:rPr>
        <w:t>Methodischer Vorschlag</w:t>
      </w:r>
      <w:bookmarkEnd w:id="1"/>
    </w:p>
    <w:p w14:paraId="27A0F83D" w14:textId="77777777" w:rsidR="006D4FF4" w:rsidRDefault="00000000">
      <w:pPr>
        <w:pStyle w:val="Listenabsatz"/>
        <w:numPr>
          <w:ilvl w:val="0"/>
          <w:numId w:val="2"/>
        </w:numPr>
        <w:spacing w:after="60"/>
      </w:pPr>
      <w:r>
        <w:t>Acht Kleingruppen, je ein Fall; alternativ vier Gruppen mit je zwei Fällen (Paarung 1 und 8, 2 und 5, 3 und 4, 6 und 7 – so trifft jede Gruppe auf einen klaren und einen Grenzfall).</w:t>
      </w:r>
    </w:p>
    <w:p w14:paraId="65600510" w14:textId="77777777" w:rsidR="006D4FF4" w:rsidRDefault="00000000">
      <w:pPr>
        <w:pStyle w:val="Listenabsatz"/>
        <w:numPr>
          <w:ilvl w:val="0"/>
          <w:numId w:val="2"/>
        </w:numPr>
        <w:spacing w:after="60"/>
      </w:pPr>
      <w:r>
        <w:t>Je Fall etwa 25 Minuten Gruppenarbeit und 10 Minuten Vorstellung; Gesamtdauer bei acht Fällen rund fünf Zeitstunden einschließlich Pausen.</w:t>
      </w:r>
    </w:p>
    <w:p w14:paraId="2FAF2CE7" w14:textId="77777777" w:rsidR="006D4FF4" w:rsidRDefault="00000000">
      <w:pPr>
        <w:pStyle w:val="Listenabsatz"/>
        <w:numPr>
          <w:ilvl w:val="0"/>
          <w:numId w:val="2"/>
        </w:numPr>
        <w:spacing w:after="60"/>
      </w:pPr>
      <w:r>
        <w:t>Empfohlene Reihenfolge im Plenum: Fall 1 (Verbot) zuerst, danach 2, 5, 3, 4, dann 6, 7 und zum Abschluss 8 – so steigt die Komplexität und der Schlussfall öffnet die Diskussion über das Gesamtrisiko.</w:t>
      </w:r>
    </w:p>
    <w:p w14:paraId="6E5A5795" w14:textId="77777777" w:rsidR="006D4FF4" w:rsidRDefault="00000000">
      <w:pPr>
        <w:pStyle w:val="Listenabsatz"/>
        <w:numPr>
          <w:ilvl w:val="0"/>
          <w:numId w:val="2"/>
        </w:numPr>
        <w:spacing w:after="60"/>
      </w:pPr>
      <w:r>
        <w:t>Lassen Sie jede Gruppe das ausgefüllte Prüfraster vorlegen, nicht nur das Ergebnis. Die Begründungstiefe ist das Lernziel, nicht die Trefferquote.</w:t>
      </w:r>
    </w:p>
    <w:p w14:paraId="1ADEDBC7" w14:textId="77777777" w:rsidR="006D4FF4" w:rsidRDefault="00000000">
      <w:pPr>
        <w:pStyle w:val="Listenabsatz"/>
        <w:numPr>
          <w:ilvl w:val="0"/>
          <w:numId w:val="2"/>
        </w:numPr>
        <w:spacing w:after="60"/>
      </w:pPr>
      <w:r>
        <w:lastRenderedPageBreak/>
        <w:t>Fälle 5 und 6 eignen sich als Streitgespräch: eine Hälfte vertritt die Hochrisiko-Einstufung, die andere die Ausnahme.</w:t>
      </w:r>
    </w:p>
    <w:p w14:paraId="72A2234D" w14:textId="77777777" w:rsidR="006D4FF4" w:rsidRPr="005F785E" w:rsidRDefault="00000000">
      <w:pPr>
        <w:pStyle w:val="berschrift2"/>
        <w:keepNext/>
        <w:spacing w:before="280" w:after="140"/>
        <w:rPr>
          <w:u w:val="single"/>
        </w:rPr>
      </w:pPr>
      <w:bookmarkStart w:id="2" w:name="_Toc240324989"/>
      <w:r w:rsidRPr="005F785E">
        <w:rPr>
          <w:b/>
          <w:bCs/>
          <w:color w:val="1A5FB4"/>
          <w:sz w:val="25"/>
          <w:szCs w:val="25"/>
          <w:u w:val="single"/>
        </w:rPr>
        <w:t>Übergreifende Lernziele</w:t>
      </w:r>
      <w:bookmarkEnd w:id="2"/>
    </w:p>
    <w:p w14:paraId="51314226" w14:textId="77777777" w:rsidR="006D4FF4" w:rsidRDefault="00000000">
      <w:pPr>
        <w:pStyle w:val="Listenabsatz"/>
        <w:numPr>
          <w:ilvl w:val="0"/>
          <w:numId w:val="2"/>
        </w:numPr>
        <w:spacing w:after="60"/>
      </w:pPr>
      <w:r>
        <w:t>Art. 5 KI-VO wird stets vor Art. 6 KI-VO geprüft; ein Verbot beendet die Prüfung.</w:t>
      </w:r>
    </w:p>
    <w:p w14:paraId="69C38B56" w14:textId="77777777" w:rsidR="006D4FF4" w:rsidRDefault="00000000">
      <w:pPr>
        <w:pStyle w:val="Listenabsatz"/>
        <w:numPr>
          <w:ilvl w:val="0"/>
          <w:numId w:val="2"/>
        </w:numPr>
        <w:spacing w:after="60"/>
      </w:pPr>
      <w:r>
        <w:t>Die Zweckbestimmung entscheidet über die Risikoklasse, nicht das Produkt.</w:t>
      </w:r>
    </w:p>
    <w:p w14:paraId="0DC552CA" w14:textId="77777777" w:rsidR="006D4FF4" w:rsidRDefault="00000000">
      <w:pPr>
        <w:pStyle w:val="Listenabsatz"/>
        <w:numPr>
          <w:ilvl w:val="0"/>
          <w:numId w:val="2"/>
        </w:numPr>
        <w:spacing w:after="60"/>
      </w:pPr>
      <w:r>
        <w:t>Der Rollenwechsel nach Art. 25 KI-VO ist die häufigste übersehene Rechtsfolge.</w:t>
      </w:r>
    </w:p>
    <w:p w14:paraId="6605BC1D" w14:textId="77777777" w:rsidR="006D4FF4" w:rsidRDefault="00000000">
      <w:pPr>
        <w:pStyle w:val="Listenabsatz"/>
        <w:numPr>
          <w:ilvl w:val="0"/>
          <w:numId w:val="2"/>
        </w:numPr>
        <w:spacing w:after="60"/>
      </w:pPr>
      <w:r>
        <w:t>Die Ausnahme des Art. 6 Abs. 3 KI-VO ist eine Dokumentationslast, keine Freistellung.</w:t>
      </w:r>
    </w:p>
    <w:p w14:paraId="050E8F3D" w14:textId="77777777" w:rsidR="006D4FF4" w:rsidRDefault="00000000">
      <w:pPr>
        <w:pStyle w:val="Listenabsatz"/>
        <w:numPr>
          <w:ilvl w:val="0"/>
          <w:numId w:val="2"/>
        </w:numPr>
        <w:spacing w:after="60"/>
      </w:pPr>
      <w:r>
        <w:t>Eine niedrige Risikoklasse nach der KI-VO bedeutet kein niedriges Gesamtrisiko.</w:t>
      </w:r>
    </w:p>
    <w:p w14:paraId="1A99BD73" w14:textId="77777777" w:rsidR="006D4FF4" w:rsidRPr="005F785E" w:rsidRDefault="00000000">
      <w:pPr>
        <w:pStyle w:val="berschrift1"/>
        <w:keepNext/>
        <w:spacing w:before="360" w:after="180"/>
        <w:rPr>
          <w:u w:val="single"/>
        </w:rPr>
      </w:pPr>
      <w:bookmarkStart w:id="3" w:name="_Toc240324990"/>
      <w:r w:rsidRPr="005F785E">
        <w:rPr>
          <w:b/>
          <w:bCs/>
          <w:color w:val="1A5FB4"/>
          <w:sz w:val="30"/>
          <w:szCs w:val="30"/>
          <w:u w:val="single"/>
        </w:rPr>
        <w:t>Fallübersicht mit Einordnung</w:t>
      </w:r>
      <w:bookmarkEnd w:id="3"/>
    </w:p>
    <w:tbl>
      <w:tblPr>
        <w:tblW w:w="9638"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700"/>
        <w:gridCol w:w="2700"/>
        <w:gridCol w:w="2400"/>
        <w:gridCol w:w="3838"/>
      </w:tblGrid>
      <w:tr w:rsidR="006D4FF4" w14:paraId="46084260" w14:textId="77777777">
        <w:tblPrEx>
          <w:tblCellMar>
            <w:top w:w="0" w:type="dxa"/>
            <w:bottom w:w="0" w:type="dxa"/>
          </w:tblCellMar>
        </w:tblPrEx>
        <w:trPr>
          <w:tblHeader/>
        </w:trPr>
        <w:tc>
          <w:tcPr>
            <w:tcW w:w="700" w:type="dxa"/>
            <w:shd w:val="clear" w:color="auto" w:fill="1A5FB4"/>
            <w:tcMar>
              <w:top w:w="60" w:type="dxa"/>
              <w:left w:w="100" w:type="dxa"/>
              <w:bottom w:w="60" w:type="dxa"/>
              <w:right w:w="100" w:type="dxa"/>
            </w:tcMar>
          </w:tcPr>
          <w:p w14:paraId="1705B7A7" w14:textId="77777777" w:rsidR="006D4FF4" w:rsidRDefault="00000000">
            <w:pPr>
              <w:spacing w:before="40" w:after="40" w:line="252" w:lineRule="auto"/>
            </w:pPr>
            <w:r>
              <w:rPr>
                <w:b/>
                <w:bCs/>
                <w:color w:val="FFFFFF"/>
                <w:sz w:val="19"/>
                <w:szCs w:val="19"/>
              </w:rPr>
              <w:t>Nr.</w:t>
            </w:r>
          </w:p>
        </w:tc>
        <w:tc>
          <w:tcPr>
            <w:tcW w:w="2700" w:type="dxa"/>
            <w:shd w:val="clear" w:color="auto" w:fill="1A5FB4"/>
            <w:tcMar>
              <w:top w:w="60" w:type="dxa"/>
              <w:left w:w="100" w:type="dxa"/>
              <w:bottom w:w="60" w:type="dxa"/>
              <w:right w:w="100" w:type="dxa"/>
            </w:tcMar>
          </w:tcPr>
          <w:p w14:paraId="51633119" w14:textId="77777777" w:rsidR="006D4FF4" w:rsidRDefault="00000000">
            <w:pPr>
              <w:spacing w:before="40" w:after="40" w:line="252" w:lineRule="auto"/>
            </w:pPr>
            <w:r>
              <w:rPr>
                <w:b/>
                <w:bCs/>
                <w:color w:val="FFFFFF"/>
                <w:sz w:val="19"/>
                <w:szCs w:val="19"/>
              </w:rPr>
              <w:t>Prüffall</w:t>
            </w:r>
          </w:p>
        </w:tc>
        <w:tc>
          <w:tcPr>
            <w:tcW w:w="2400" w:type="dxa"/>
            <w:shd w:val="clear" w:color="auto" w:fill="1A5FB4"/>
            <w:tcMar>
              <w:top w:w="60" w:type="dxa"/>
              <w:left w:w="100" w:type="dxa"/>
              <w:bottom w:w="60" w:type="dxa"/>
              <w:right w:w="100" w:type="dxa"/>
            </w:tcMar>
          </w:tcPr>
          <w:p w14:paraId="655F6518" w14:textId="77777777" w:rsidR="006D4FF4" w:rsidRDefault="00000000">
            <w:pPr>
              <w:spacing w:before="40" w:after="40" w:line="252" w:lineRule="auto"/>
            </w:pPr>
            <w:r>
              <w:rPr>
                <w:b/>
                <w:bCs/>
                <w:color w:val="FFFFFF"/>
                <w:sz w:val="19"/>
                <w:szCs w:val="19"/>
              </w:rPr>
              <w:t>Schwerpunkt</w:t>
            </w:r>
          </w:p>
        </w:tc>
        <w:tc>
          <w:tcPr>
            <w:tcW w:w="3838" w:type="dxa"/>
            <w:shd w:val="clear" w:color="auto" w:fill="1A5FB4"/>
            <w:tcMar>
              <w:top w:w="60" w:type="dxa"/>
              <w:left w:w="100" w:type="dxa"/>
              <w:bottom w:w="60" w:type="dxa"/>
              <w:right w:w="100" w:type="dxa"/>
            </w:tcMar>
          </w:tcPr>
          <w:p w14:paraId="17B641D5" w14:textId="77777777" w:rsidR="006D4FF4" w:rsidRDefault="00000000">
            <w:pPr>
              <w:spacing w:before="40" w:after="40" w:line="252" w:lineRule="auto"/>
            </w:pPr>
            <w:r>
              <w:rPr>
                <w:b/>
                <w:bCs/>
                <w:color w:val="FFFFFF"/>
                <w:sz w:val="19"/>
                <w:szCs w:val="19"/>
              </w:rPr>
              <w:t>Ergebnis</w:t>
            </w:r>
          </w:p>
        </w:tc>
      </w:tr>
      <w:tr w:rsidR="006D4FF4" w14:paraId="238AEF9D" w14:textId="77777777">
        <w:tblPrEx>
          <w:tblCellMar>
            <w:top w:w="0" w:type="dxa"/>
            <w:bottom w:w="0" w:type="dxa"/>
          </w:tblCellMar>
        </w:tblPrEx>
        <w:tc>
          <w:tcPr>
            <w:tcW w:w="700" w:type="dxa"/>
            <w:tcMar>
              <w:top w:w="60" w:type="dxa"/>
              <w:left w:w="100" w:type="dxa"/>
              <w:bottom w:w="60" w:type="dxa"/>
              <w:right w:w="100" w:type="dxa"/>
            </w:tcMar>
          </w:tcPr>
          <w:p w14:paraId="45E726FB" w14:textId="77777777" w:rsidR="006D4FF4" w:rsidRDefault="00000000">
            <w:pPr>
              <w:spacing w:before="40" w:after="40" w:line="252" w:lineRule="auto"/>
            </w:pPr>
            <w:r>
              <w:rPr>
                <w:sz w:val="19"/>
                <w:szCs w:val="19"/>
              </w:rPr>
              <w:t>1</w:t>
            </w:r>
          </w:p>
        </w:tc>
        <w:tc>
          <w:tcPr>
            <w:tcW w:w="2700" w:type="dxa"/>
            <w:tcMar>
              <w:top w:w="60" w:type="dxa"/>
              <w:left w:w="100" w:type="dxa"/>
              <w:bottom w:w="60" w:type="dxa"/>
              <w:right w:w="100" w:type="dxa"/>
            </w:tcMar>
          </w:tcPr>
          <w:p w14:paraId="4FCF374F" w14:textId="77777777" w:rsidR="006D4FF4" w:rsidRDefault="00000000">
            <w:pPr>
              <w:spacing w:before="40" w:after="40" w:line="252" w:lineRule="auto"/>
            </w:pPr>
            <w:r>
              <w:rPr>
                <w:sz w:val="19"/>
                <w:szCs w:val="19"/>
              </w:rPr>
              <w:t>Das "Stimmungsbarometer" im Bürgerbüro</w:t>
            </w:r>
          </w:p>
        </w:tc>
        <w:tc>
          <w:tcPr>
            <w:tcW w:w="2400" w:type="dxa"/>
            <w:tcMar>
              <w:top w:w="60" w:type="dxa"/>
              <w:left w:w="100" w:type="dxa"/>
              <w:bottom w:w="60" w:type="dxa"/>
              <w:right w:w="100" w:type="dxa"/>
            </w:tcMar>
          </w:tcPr>
          <w:p w14:paraId="5B89C084" w14:textId="77777777" w:rsidR="006D4FF4" w:rsidRDefault="00000000">
            <w:pPr>
              <w:spacing w:before="40" w:after="40" w:line="252" w:lineRule="auto"/>
            </w:pPr>
            <w:r>
              <w:rPr>
                <w:sz w:val="19"/>
                <w:szCs w:val="19"/>
              </w:rPr>
              <w:t>Verbotene Praktik</w:t>
            </w:r>
          </w:p>
        </w:tc>
        <w:tc>
          <w:tcPr>
            <w:tcW w:w="3838" w:type="dxa"/>
            <w:tcMar>
              <w:top w:w="60" w:type="dxa"/>
              <w:left w:w="100" w:type="dxa"/>
              <w:bottom w:w="60" w:type="dxa"/>
              <w:right w:w="100" w:type="dxa"/>
            </w:tcMar>
          </w:tcPr>
          <w:p w14:paraId="4EAB7A98" w14:textId="77777777" w:rsidR="006D4FF4" w:rsidRPr="005F785E" w:rsidRDefault="00000000">
            <w:pPr>
              <w:spacing w:before="40" w:after="40" w:line="252" w:lineRule="auto"/>
              <w:rPr>
                <w:color w:val="000000" w:themeColor="text1"/>
              </w:rPr>
            </w:pPr>
            <w:r w:rsidRPr="005F785E">
              <w:rPr>
                <w:color w:val="000000" w:themeColor="text1"/>
                <w:sz w:val="19"/>
              </w:rPr>
              <w:t>Beschäftigtenbezogene Belastungsmessung verboten nach Art. 5 Abs. 1 Buchst. f KI-VO; Aggressionserkennung nur bei tragfähiger Sicherheitsausnahme und dann grundsätzlich Hochrisiko nach Anhang III Nr. 1 Buchst. c.</w:t>
            </w:r>
          </w:p>
        </w:tc>
      </w:tr>
      <w:tr w:rsidR="006D4FF4" w14:paraId="504FF832" w14:textId="77777777">
        <w:tblPrEx>
          <w:tblCellMar>
            <w:top w:w="0" w:type="dxa"/>
            <w:bottom w:w="0" w:type="dxa"/>
          </w:tblCellMar>
        </w:tblPrEx>
        <w:tc>
          <w:tcPr>
            <w:tcW w:w="700" w:type="dxa"/>
            <w:shd w:val="clear" w:color="auto" w:fill="FAFAFA"/>
            <w:tcMar>
              <w:top w:w="60" w:type="dxa"/>
              <w:left w:w="100" w:type="dxa"/>
              <w:bottom w:w="60" w:type="dxa"/>
              <w:right w:w="100" w:type="dxa"/>
            </w:tcMar>
          </w:tcPr>
          <w:p w14:paraId="24171E12" w14:textId="77777777" w:rsidR="006D4FF4" w:rsidRDefault="00000000">
            <w:pPr>
              <w:spacing w:before="40" w:after="40" w:line="252" w:lineRule="auto"/>
            </w:pPr>
            <w:r>
              <w:rPr>
                <w:sz w:val="19"/>
                <w:szCs w:val="19"/>
              </w:rPr>
              <w:t>2</w:t>
            </w:r>
          </w:p>
        </w:tc>
        <w:tc>
          <w:tcPr>
            <w:tcW w:w="2700" w:type="dxa"/>
            <w:shd w:val="clear" w:color="auto" w:fill="FAFAFA"/>
            <w:tcMar>
              <w:top w:w="60" w:type="dxa"/>
              <w:left w:w="100" w:type="dxa"/>
              <w:bottom w:w="60" w:type="dxa"/>
              <w:right w:w="100" w:type="dxa"/>
            </w:tcMar>
          </w:tcPr>
          <w:p w14:paraId="25E96FAF" w14:textId="77777777" w:rsidR="006D4FF4" w:rsidRDefault="00000000">
            <w:pPr>
              <w:spacing w:before="40" w:after="40" w:line="252" w:lineRule="auto"/>
            </w:pPr>
            <w:r>
              <w:rPr>
                <w:sz w:val="19"/>
                <w:szCs w:val="19"/>
              </w:rPr>
              <w:t>Vorauswahl im Bewerbermanagement</w:t>
            </w:r>
          </w:p>
        </w:tc>
        <w:tc>
          <w:tcPr>
            <w:tcW w:w="2400" w:type="dxa"/>
            <w:shd w:val="clear" w:color="auto" w:fill="FAFAFA"/>
            <w:tcMar>
              <w:top w:w="60" w:type="dxa"/>
              <w:left w:w="100" w:type="dxa"/>
              <w:bottom w:w="60" w:type="dxa"/>
              <w:right w:w="100" w:type="dxa"/>
            </w:tcMar>
          </w:tcPr>
          <w:p w14:paraId="076E4992" w14:textId="77777777" w:rsidR="006D4FF4" w:rsidRDefault="00000000">
            <w:pPr>
              <w:spacing w:before="40" w:after="40" w:line="252" w:lineRule="auto"/>
            </w:pPr>
            <w:r>
              <w:rPr>
                <w:sz w:val="19"/>
                <w:szCs w:val="19"/>
              </w:rPr>
              <w:t>Hochrisiko – Anhang III Nr. 4</w:t>
            </w:r>
          </w:p>
        </w:tc>
        <w:tc>
          <w:tcPr>
            <w:tcW w:w="3838" w:type="dxa"/>
            <w:shd w:val="clear" w:color="auto" w:fill="FAFAFA"/>
            <w:tcMar>
              <w:top w:w="60" w:type="dxa"/>
              <w:left w:w="100" w:type="dxa"/>
              <w:bottom w:w="60" w:type="dxa"/>
              <w:right w:w="100" w:type="dxa"/>
            </w:tcMar>
          </w:tcPr>
          <w:p w14:paraId="2D0913F9" w14:textId="77777777" w:rsidR="006D4FF4" w:rsidRDefault="00000000">
            <w:pPr>
              <w:spacing w:before="40" w:after="40" w:line="252" w:lineRule="auto"/>
            </w:pPr>
            <w:r>
              <w:rPr>
                <w:sz w:val="19"/>
                <w:szCs w:val="19"/>
              </w:rPr>
              <w:t xml:space="preserve">Hochrisiko nach Anhang III Nr. 4 </w:t>
            </w:r>
            <w:proofErr w:type="spellStart"/>
            <w:r>
              <w:rPr>
                <w:sz w:val="19"/>
                <w:szCs w:val="19"/>
              </w:rPr>
              <w:t>lit</w:t>
            </w:r>
            <w:proofErr w:type="spellEnd"/>
            <w:r>
              <w:rPr>
                <w:sz w:val="19"/>
                <w:szCs w:val="19"/>
              </w:rPr>
              <w:t>. a KI-VO; volle Betreiberpflichten einschließlich Grundrechte-Folgenabschätzung und Registrierung.</w:t>
            </w:r>
          </w:p>
        </w:tc>
      </w:tr>
      <w:tr w:rsidR="006D4FF4" w14:paraId="54063AB5" w14:textId="77777777">
        <w:tblPrEx>
          <w:tblCellMar>
            <w:top w:w="0" w:type="dxa"/>
            <w:bottom w:w="0" w:type="dxa"/>
          </w:tblCellMar>
        </w:tblPrEx>
        <w:tc>
          <w:tcPr>
            <w:tcW w:w="700" w:type="dxa"/>
            <w:tcMar>
              <w:top w:w="60" w:type="dxa"/>
              <w:left w:w="100" w:type="dxa"/>
              <w:bottom w:w="60" w:type="dxa"/>
              <w:right w:w="100" w:type="dxa"/>
            </w:tcMar>
          </w:tcPr>
          <w:p w14:paraId="26F16D9B" w14:textId="77777777" w:rsidR="006D4FF4" w:rsidRDefault="00000000">
            <w:pPr>
              <w:spacing w:before="40" w:after="40" w:line="252" w:lineRule="auto"/>
            </w:pPr>
            <w:r>
              <w:rPr>
                <w:sz w:val="19"/>
                <w:szCs w:val="19"/>
              </w:rPr>
              <w:t>3</w:t>
            </w:r>
          </w:p>
        </w:tc>
        <w:tc>
          <w:tcPr>
            <w:tcW w:w="2700" w:type="dxa"/>
            <w:tcMar>
              <w:top w:w="60" w:type="dxa"/>
              <w:left w:w="100" w:type="dxa"/>
              <w:bottom w:w="60" w:type="dxa"/>
              <w:right w:w="100" w:type="dxa"/>
            </w:tcMar>
          </w:tcPr>
          <w:p w14:paraId="1706AC2D" w14:textId="77777777" w:rsidR="006D4FF4" w:rsidRDefault="00000000">
            <w:pPr>
              <w:spacing w:before="40" w:after="40" w:line="252" w:lineRule="auto"/>
            </w:pPr>
            <w:r>
              <w:rPr>
                <w:sz w:val="19"/>
                <w:szCs w:val="19"/>
              </w:rPr>
              <w:t>Betriebsoptimierung im Wasserwerk</w:t>
            </w:r>
          </w:p>
        </w:tc>
        <w:tc>
          <w:tcPr>
            <w:tcW w:w="2400" w:type="dxa"/>
            <w:tcMar>
              <w:top w:w="60" w:type="dxa"/>
              <w:left w:w="100" w:type="dxa"/>
              <w:bottom w:w="60" w:type="dxa"/>
              <w:right w:w="100" w:type="dxa"/>
            </w:tcMar>
          </w:tcPr>
          <w:p w14:paraId="7607FE28" w14:textId="77777777" w:rsidR="006D4FF4" w:rsidRDefault="00000000">
            <w:pPr>
              <w:spacing w:before="40" w:after="40" w:line="252" w:lineRule="auto"/>
            </w:pPr>
            <w:r>
              <w:rPr>
                <w:sz w:val="19"/>
                <w:szCs w:val="19"/>
              </w:rPr>
              <w:t>Hochrisiko – Anhang III Nr. 2</w:t>
            </w:r>
          </w:p>
        </w:tc>
        <w:tc>
          <w:tcPr>
            <w:tcW w:w="3838" w:type="dxa"/>
            <w:tcMar>
              <w:top w:w="60" w:type="dxa"/>
              <w:left w:w="100" w:type="dxa"/>
              <w:bottom w:w="60" w:type="dxa"/>
              <w:right w:w="100" w:type="dxa"/>
            </w:tcMar>
          </w:tcPr>
          <w:p w14:paraId="2BAE2D22" w14:textId="77777777" w:rsidR="006D4FF4" w:rsidRDefault="00000000">
            <w:pPr>
              <w:spacing w:before="40" w:after="40" w:line="252" w:lineRule="auto"/>
            </w:pPr>
            <w:r>
              <w:rPr>
                <w:sz w:val="19"/>
                <w:szCs w:val="19"/>
              </w:rPr>
              <w:t>Hochrisiko nach Anhang III Nr. 2 KI-VO; Art. 26 und Art. 49 ja, Art. 27 nein.</w:t>
            </w:r>
          </w:p>
        </w:tc>
      </w:tr>
      <w:tr w:rsidR="006D4FF4" w14:paraId="1AD40DF4" w14:textId="77777777">
        <w:tblPrEx>
          <w:tblCellMar>
            <w:top w:w="0" w:type="dxa"/>
            <w:bottom w:w="0" w:type="dxa"/>
          </w:tblCellMar>
        </w:tblPrEx>
        <w:tc>
          <w:tcPr>
            <w:tcW w:w="700" w:type="dxa"/>
            <w:shd w:val="clear" w:color="auto" w:fill="FAFAFA"/>
            <w:tcMar>
              <w:top w:w="60" w:type="dxa"/>
              <w:left w:w="100" w:type="dxa"/>
              <w:bottom w:w="60" w:type="dxa"/>
              <w:right w:w="100" w:type="dxa"/>
            </w:tcMar>
          </w:tcPr>
          <w:p w14:paraId="0E0704ED" w14:textId="77777777" w:rsidR="006D4FF4" w:rsidRDefault="00000000">
            <w:pPr>
              <w:spacing w:before="40" w:after="40" w:line="252" w:lineRule="auto"/>
            </w:pPr>
            <w:r>
              <w:rPr>
                <w:sz w:val="19"/>
                <w:szCs w:val="19"/>
              </w:rPr>
              <w:t>4</w:t>
            </w:r>
          </w:p>
        </w:tc>
        <w:tc>
          <w:tcPr>
            <w:tcW w:w="2700" w:type="dxa"/>
            <w:shd w:val="clear" w:color="auto" w:fill="FAFAFA"/>
            <w:tcMar>
              <w:top w:w="60" w:type="dxa"/>
              <w:left w:w="100" w:type="dxa"/>
              <w:bottom w:w="60" w:type="dxa"/>
              <w:right w:w="100" w:type="dxa"/>
            </w:tcMar>
          </w:tcPr>
          <w:p w14:paraId="3E54C367" w14:textId="77777777" w:rsidR="006D4FF4" w:rsidRDefault="00000000">
            <w:pPr>
              <w:spacing w:before="40" w:after="40" w:line="252" w:lineRule="auto"/>
            </w:pPr>
            <w:r>
              <w:rPr>
                <w:sz w:val="19"/>
                <w:szCs w:val="19"/>
              </w:rPr>
              <w:t>Vorausschauende Wartung der Aufzugsanlage</w:t>
            </w:r>
          </w:p>
        </w:tc>
        <w:tc>
          <w:tcPr>
            <w:tcW w:w="2400" w:type="dxa"/>
            <w:shd w:val="clear" w:color="auto" w:fill="FAFAFA"/>
            <w:tcMar>
              <w:top w:w="60" w:type="dxa"/>
              <w:left w:w="100" w:type="dxa"/>
              <w:bottom w:w="60" w:type="dxa"/>
              <w:right w:w="100" w:type="dxa"/>
            </w:tcMar>
          </w:tcPr>
          <w:p w14:paraId="54D90EF3" w14:textId="77777777" w:rsidR="006D4FF4" w:rsidRDefault="00000000">
            <w:pPr>
              <w:spacing w:before="40" w:after="40" w:line="252" w:lineRule="auto"/>
            </w:pPr>
            <w:r>
              <w:rPr>
                <w:sz w:val="19"/>
                <w:szCs w:val="19"/>
              </w:rPr>
              <w:t>Hochrisiko – Anhang I</w:t>
            </w:r>
          </w:p>
        </w:tc>
        <w:tc>
          <w:tcPr>
            <w:tcW w:w="3838" w:type="dxa"/>
            <w:shd w:val="clear" w:color="auto" w:fill="FAFAFA"/>
            <w:tcMar>
              <w:top w:w="60" w:type="dxa"/>
              <w:left w:w="100" w:type="dxa"/>
              <w:bottom w:w="60" w:type="dxa"/>
              <w:right w:w="100" w:type="dxa"/>
            </w:tcMar>
          </w:tcPr>
          <w:p w14:paraId="261F5386" w14:textId="77777777" w:rsidR="006D4FF4" w:rsidRDefault="00000000">
            <w:pPr>
              <w:spacing w:before="40" w:after="40" w:line="252" w:lineRule="auto"/>
            </w:pPr>
            <w:r>
              <w:rPr>
                <w:sz w:val="19"/>
                <w:szCs w:val="19"/>
              </w:rPr>
              <w:t>Hochrisiko nach Art. 6 Abs. 1 i. V. m. Anhang I KI-VO; Herstellerpflichten im Vordergrund, Betreiberpflichten nach Art. 26 KI-VO ab 2028.</w:t>
            </w:r>
          </w:p>
        </w:tc>
      </w:tr>
      <w:tr w:rsidR="006D4FF4" w14:paraId="488F2795" w14:textId="77777777">
        <w:tblPrEx>
          <w:tblCellMar>
            <w:top w:w="0" w:type="dxa"/>
            <w:bottom w:w="0" w:type="dxa"/>
          </w:tblCellMar>
        </w:tblPrEx>
        <w:tc>
          <w:tcPr>
            <w:tcW w:w="700" w:type="dxa"/>
            <w:tcMar>
              <w:top w:w="60" w:type="dxa"/>
              <w:left w:w="100" w:type="dxa"/>
              <w:bottom w:w="60" w:type="dxa"/>
              <w:right w:w="100" w:type="dxa"/>
            </w:tcMar>
          </w:tcPr>
          <w:p w14:paraId="54280E0D" w14:textId="77777777" w:rsidR="006D4FF4" w:rsidRDefault="00000000">
            <w:pPr>
              <w:spacing w:before="40" w:after="40" w:line="252" w:lineRule="auto"/>
            </w:pPr>
            <w:r>
              <w:rPr>
                <w:sz w:val="19"/>
                <w:szCs w:val="19"/>
              </w:rPr>
              <w:t>5</w:t>
            </w:r>
          </w:p>
        </w:tc>
        <w:tc>
          <w:tcPr>
            <w:tcW w:w="2700" w:type="dxa"/>
            <w:tcMar>
              <w:top w:w="60" w:type="dxa"/>
              <w:left w:w="100" w:type="dxa"/>
              <w:bottom w:w="60" w:type="dxa"/>
              <w:right w:w="100" w:type="dxa"/>
            </w:tcMar>
          </w:tcPr>
          <w:p w14:paraId="1FAFDC58" w14:textId="77777777" w:rsidR="006D4FF4" w:rsidRDefault="00000000">
            <w:pPr>
              <w:spacing w:before="40" w:after="40" w:line="252" w:lineRule="auto"/>
            </w:pPr>
            <w:r>
              <w:rPr>
                <w:sz w:val="19"/>
                <w:szCs w:val="19"/>
              </w:rPr>
              <w:t>Vollständigkeitsprüfung von Wohngeldanträgen</w:t>
            </w:r>
          </w:p>
        </w:tc>
        <w:tc>
          <w:tcPr>
            <w:tcW w:w="2400" w:type="dxa"/>
            <w:tcMar>
              <w:top w:w="60" w:type="dxa"/>
              <w:left w:w="100" w:type="dxa"/>
              <w:bottom w:w="60" w:type="dxa"/>
              <w:right w:w="100" w:type="dxa"/>
            </w:tcMar>
          </w:tcPr>
          <w:p w14:paraId="38A4EAB8" w14:textId="77777777" w:rsidR="006D4FF4" w:rsidRDefault="00000000">
            <w:pPr>
              <w:spacing w:before="40" w:after="40" w:line="252" w:lineRule="auto"/>
            </w:pPr>
            <w:r>
              <w:rPr>
                <w:sz w:val="19"/>
                <w:szCs w:val="19"/>
              </w:rPr>
              <w:t>Anhang III mit Ausnahme nach Art. 6 Abs. 3</w:t>
            </w:r>
          </w:p>
        </w:tc>
        <w:tc>
          <w:tcPr>
            <w:tcW w:w="3838" w:type="dxa"/>
            <w:tcMar>
              <w:top w:w="60" w:type="dxa"/>
              <w:left w:w="100" w:type="dxa"/>
              <w:bottom w:w="60" w:type="dxa"/>
              <w:right w:w="100" w:type="dxa"/>
            </w:tcMar>
          </w:tcPr>
          <w:p w14:paraId="29CD6B03" w14:textId="77777777" w:rsidR="006D4FF4" w:rsidRDefault="00000000">
            <w:pPr>
              <w:spacing w:before="40" w:after="40" w:line="252" w:lineRule="auto"/>
            </w:pPr>
            <w:r>
              <w:rPr>
                <w:sz w:val="19"/>
                <w:szCs w:val="19"/>
              </w:rPr>
              <w:t xml:space="preserve">Anhang III Nr. 5 </w:t>
            </w:r>
            <w:proofErr w:type="spellStart"/>
            <w:r>
              <w:rPr>
                <w:sz w:val="19"/>
                <w:szCs w:val="19"/>
              </w:rPr>
              <w:t>lit</w:t>
            </w:r>
            <w:proofErr w:type="spellEnd"/>
            <w:r>
              <w:rPr>
                <w:sz w:val="19"/>
                <w:szCs w:val="19"/>
              </w:rPr>
              <w:t>. a eröffnet, Ausnahme nach Art. 6 Abs. 3 KI-VO greift; Dokumentation nach Art. 6 Abs. 4 und Registrierung nach Art. 49 Abs. 2 KI-VO bleiben.</w:t>
            </w:r>
          </w:p>
        </w:tc>
      </w:tr>
      <w:tr w:rsidR="006D4FF4" w14:paraId="10C33FC5" w14:textId="77777777">
        <w:tblPrEx>
          <w:tblCellMar>
            <w:top w:w="0" w:type="dxa"/>
            <w:bottom w:w="0" w:type="dxa"/>
          </w:tblCellMar>
        </w:tblPrEx>
        <w:tc>
          <w:tcPr>
            <w:tcW w:w="700" w:type="dxa"/>
            <w:shd w:val="clear" w:color="auto" w:fill="FAFAFA"/>
            <w:tcMar>
              <w:top w:w="60" w:type="dxa"/>
              <w:left w:w="100" w:type="dxa"/>
              <w:bottom w:w="60" w:type="dxa"/>
              <w:right w:w="100" w:type="dxa"/>
            </w:tcMar>
          </w:tcPr>
          <w:p w14:paraId="36EE62A2" w14:textId="77777777" w:rsidR="006D4FF4" w:rsidRDefault="00000000">
            <w:pPr>
              <w:spacing w:before="40" w:after="40" w:line="252" w:lineRule="auto"/>
            </w:pPr>
            <w:r>
              <w:rPr>
                <w:sz w:val="19"/>
                <w:szCs w:val="19"/>
              </w:rPr>
              <w:t>6</w:t>
            </w:r>
          </w:p>
        </w:tc>
        <w:tc>
          <w:tcPr>
            <w:tcW w:w="2700" w:type="dxa"/>
            <w:shd w:val="clear" w:color="auto" w:fill="FAFAFA"/>
            <w:tcMar>
              <w:top w:w="60" w:type="dxa"/>
              <w:left w:w="100" w:type="dxa"/>
              <w:bottom w:w="60" w:type="dxa"/>
              <w:right w:w="100" w:type="dxa"/>
            </w:tcMar>
          </w:tcPr>
          <w:p w14:paraId="724AC314" w14:textId="77777777" w:rsidR="006D4FF4" w:rsidRDefault="00000000">
            <w:pPr>
              <w:spacing w:before="40" w:after="40" w:line="252" w:lineRule="auto"/>
            </w:pPr>
            <w:r>
              <w:rPr>
                <w:sz w:val="19"/>
                <w:szCs w:val="19"/>
              </w:rPr>
              <w:t>Der Bürger-Chatbot "</w:t>
            </w:r>
            <w:proofErr w:type="spellStart"/>
            <w:r>
              <w:rPr>
                <w:sz w:val="19"/>
                <w:szCs w:val="19"/>
              </w:rPr>
              <w:t>Musti</w:t>
            </w:r>
            <w:proofErr w:type="spellEnd"/>
            <w:r>
              <w:rPr>
                <w:sz w:val="19"/>
                <w:szCs w:val="19"/>
              </w:rPr>
              <w:t>"</w:t>
            </w:r>
          </w:p>
        </w:tc>
        <w:tc>
          <w:tcPr>
            <w:tcW w:w="2400" w:type="dxa"/>
            <w:shd w:val="clear" w:color="auto" w:fill="FAFAFA"/>
            <w:tcMar>
              <w:top w:w="60" w:type="dxa"/>
              <w:left w:w="100" w:type="dxa"/>
              <w:bottom w:w="60" w:type="dxa"/>
              <w:right w:w="100" w:type="dxa"/>
            </w:tcMar>
          </w:tcPr>
          <w:p w14:paraId="392ADB7D" w14:textId="77777777" w:rsidR="006D4FF4" w:rsidRDefault="00000000">
            <w:pPr>
              <w:spacing w:before="40" w:after="40" w:line="252" w:lineRule="auto"/>
            </w:pPr>
            <w:r>
              <w:rPr>
                <w:sz w:val="19"/>
                <w:szCs w:val="19"/>
              </w:rPr>
              <w:t>Begrenztes Risiko – Art. 50 KI-VO</w:t>
            </w:r>
          </w:p>
        </w:tc>
        <w:tc>
          <w:tcPr>
            <w:tcW w:w="3838" w:type="dxa"/>
            <w:shd w:val="clear" w:color="auto" w:fill="FAFAFA"/>
            <w:tcMar>
              <w:top w:w="60" w:type="dxa"/>
              <w:left w:w="100" w:type="dxa"/>
              <w:bottom w:w="60" w:type="dxa"/>
              <w:right w:w="100" w:type="dxa"/>
            </w:tcMar>
          </w:tcPr>
          <w:p w14:paraId="3C33229A" w14:textId="77777777" w:rsidR="006D4FF4" w:rsidRDefault="00000000">
            <w:pPr>
              <w:spacing w:before="40" w:after="40" w:line="252" w:lineRule="auto"/>
            </w:pPr>
            <w:r>
              <w:rPr>
                <w:sz w:val="19"/>
                <w:szCs w:val="19"/>
              </w:rPr>
              <w:t>Begrenztes Risiko; Transparenzpflichten nach Art. 50 KI-VO, die Stadt trifft insoweit auch Anbieterpflichten.</w:t>
            </w:r>
          </w:p>
        </w:tc>
      </w:tr>
      <w:tr w:rsidR="006D4FF4" w14:paraId="5BBD0F19" w14:textId="77777777">
        <w:tblPrEx>
          <w:tblCellMar>
            <w:top w:w="0" w:type="dxa"/>
            <w:bottom w:w="0" w:type="dxa"/>
          </w:tblCellMar>
        </w:tblPrEx>
        <w:tc>
          <w:tcPr>
            <w:tcW w:w="700" w:type="dxa"/>
            <w:tcMar>
              <w:top w:w="60" w:type="dxa"/>
              <w:left w:w="100" w:type="dxa"/>
              <w:bottom w:w="60" w:type="dxa"/>
              <w:right w:w="100" w:type="dxa"/>
            </w:tcMar>
          </w:tcPr>
          <w:p w14:paraId="2D722988" w14:textId="77777777" w:rsidR="006D4FF4" w:rsidRDefault="00000000">
            <w:pPr>
              <w:spacing w:before="40" w:after="40" w:line="252" w:lineRule="auto"/>
            </w:pPr>
            <w:r>
              <w:rPr>
                <w:sz w:val="19"/>
                <w:szCs w:val="19"/>
              </w:rPr>
              <w:t>7</w:t>
            </w:r>
          </w:p>
        </w:tc>
        <w:tc>
          <w:tcPr>
            <w:tcW w:w="2700" w:type="dxa"/>
            <w:tcMar>
              <w:top w:w="60" w:type="dxa"/>
              <w:left w:w="100" w:type="dxa"/>
              <w:bottom w:w="60" w:type="dxa"/>
              <w:right w:w="100" w:type="dxa"/>
            </w:tcMar>
          </w:tcPr>
          <w:p w14:paraId="0FB00C64" w14:textId="77777777" w:rsidR="006D4FF4" w:rsidRDefault="00000000">
            <w:pPr>
              <w:spacing w:before="40" w:after="40" w:line="252" w:lineRule="auto"/>
            </w:pPr>
            <w:r>
              <w:rPr>
                <w:sz w:val="19"/>
                <w:szCs w:val="19"/>
              </w:rPr>
              <w:t>Aus Auswertung wird Bewertung</w:t>
            </w:r>
          </w:p>
        </w:tc>
        <w:tc>
          <w:tcPr>
            <w:tcW w:w="2400" w:type="dxa"/>
            <w:tcMar>
              <w:top w:w="60" w:type="dxa"/>
              <w:left w:w="100" w:type="dxa"/>
              <w:bottom w:w="60" w:type="dxa"/>
              <w:right w:w="100" w:type="dxa"/>
            </w:tcMar>
          </w:tcPr>
          <w:p w14:paraId="6FD824D4" w14:textId="77777777" w:rsidR="006D4FF4" w:rsidRDefault="00000000">
            <w:pPr>
              <w:spacing w:before="40" w:after="40" w:line="252" w:lineRule="auto"/>
            </w:pPr>
            <w:r>
              <w:rPr>
                <w:sz w:val="19"/>
                <w:szCs w:val="19"/>
              </w:rPr>
              <w:t>Rollenwechsel nach Art. 25 KI-VO</w:t>
            </w:r>
          </w:p>
        </w:tc>
        <w:tc>
          <w:tcPr>
            <w:tcW w:w="3838" w:type="dxa"/>
            <w:tcMar>
              <w:top w:w="60" w:type="dxa"/>
              <w:left w:w="100" w:type="dxa"/>
              <w:bottom w:w="60" w:type="dxa"/>
              <w:right w:w="100" w:type="dxa"/>
            </w:tcMar>
          </w:tcPr>
          <w:p w14:paraId="5209C450" w14:textId="77777777" w:rsidR="006D4FF4" w:rsidRDefault="00000000">
            <w:pPr>
              <w:spacing w:before="40" w:after="40" w:line="252" w:lineRule="auto"/>
            </w:pPr>
            <w:r w:rsidRPr="005F785E">
              <w:rPr>
                <w:color w:val="000000" w:themeColor="text1"/>
                <w:sz w:val="19"/>
              </w:rPr>
              <w:t>Hochrisiko nach Anhang III Nr. 4 Buchst. b KI-VO und Rollenwechsel zur Anbieterin jedenfalls nach Art. 25 Abs. 1 Buchst. c KI-VO.</w:t>
            </w:r>
          </w:p>
        </w:tc>
      </w:tr>
      <w:tr w:rsidR="006D4FF4" w14:paraId="7407BD82" w14:textId="77777777">
        <w:tblPrEx>
          <w:tblCellMar>
            <w:top w:w="0" w:type="dxa"/>
            <w:bottom w:w="0" w:type="dxa"/>
          </w:tblCellMar>
        </w:tblPrEx>
        <w:tc>
          <w:tcPr>
            <w:tcW w:w="700" w:type="dxa"/>
            <w:shd w:val="clear" w:color="auto" w:fill="FAFAFA"/>
            <w:tcMar>
              <w:top w:w="60" w:type="dxa"/>
              <w:left w:w="100" w:type="dxa"/>
              <w:bottom w:w="60" w:type="dxa"/>
              <w:right w:w="100" w:type="dxa"/>
            </w:tcMar>
          </w:tcPr>
          <w:p w14:paraId="7EF90A58" w14:textId="77777777" w:rsidR="006D4FF4" w:rsidRDefault="00000000">
            <w:pPr>
              <w:spacing w:before="40" w:after="40" w:line="252" w:lineRule="auto"/>
            </w:pPr>
            <w:r>
              <w:rPr>
                <w:sz w:val="19"/>
                <w:szCs w:val="19"/>
              </w:rPr>
              <w:t>8</w:t>
            </w:r>
          </w:p>
        </w:tc>
        <w:tc>
          <w:tcPr>
            <w:tcW w:w="2700" w:type="dxa"/>
            <w:shd w:val="clear" w:color="auto" w:fill="FAFAFA"/>
            <w:tcMar>
              <w:top w:w="60" w:type="dxa"/>
              <w:left w:w="100" w:type="dxa"/>
              <w:bottom w:w="60" w:type="dxa"/>
              <w:right w:w="100" w:type="dxa"/>
            </w:tcMar>
          </w:tcPr>
          <w:p w14:paraId="330ED120" w14:textId="77777777" w:rsidR="006D4FF4" w:rsidRDefault="00000000">
            <w:pPr>
              <w:spacing w:before="40" w:after="40" w:line="252" w:lineRule="auto"/>
            </w:pPr>
            <w:r>
              <w:rPr>
                <w:sz w:val="19"/>
                <w:szCs w:val="19"/>
              </w:rPr>
              <w:t>Übersetzung auf dem privaten Account</w:t>
            </w:r>
          </w:p>
        </w:tc>
        <w:tc>
          <w:tcPr>
            <w:tcW w:w="2400" w:type="dxa"/>
            <w:shd w:val="clear" w:color="auto" w:fill="FAFAFA"/>
            <w:tcMar>
              <w:top w:w="60" w:type="dxa"/>
              <w:left w:w="100" w:type="dxa"/>
              <w:bottom w:w="60" w:type="dxa"/>
              <w:right w:w="100" w:type="dxa"/>
            </w:tcMar>
          </w:tcPr>
          <w:p w14:paraId="5A79758A" w14:textId="77777777" w:rsidR="006D4FF4" w:rsidRDefault="00000000">
            <w:pPr>
              <w:spacing w:before="40" w:after="40" w:line="252" w:lineRule="auto"/>
            </w:pPr>
            <w:r>
              <w:rPr>
                <w:sz w:val="19"/>
                <w:szCs w:val="19"/>
              </w:rPr>
              <w:t>Minimales Risiko – und Schatten-KI</w:t>
            </w:r>
          </w:p>
        </w:tc>
        <w:tc>
          <w:tcPr>
            <w:tcW w:w="3838" w:type="dxa"/>
            <w:shd w:val="clear" w:color="auto" w:fill="FAFAFA"/>
            <w:tcMar>
              <w:top w:w="60" w:type="dxa"/>
              <w:left w:w="100" w:type="dxa"/>
              <w:bottom w:w="60" w:type="dxa"/>
              <w:right w:w="100" w:type="dxa"/>
            </w:tcMar>
          </w:tcPr>
          <w:p w14:paraId="009F22D4" w14:textId="77777777" w:rsidR="006D4FF4" w:rsidRDefault="00000000">
            <w:pPr>
              <w:spacing w:before="40" w:after="40" w:line="252" w:lineRule="auto"/>
            </w:pPr>
            <w:r>
              <w:rPr>
                <w:sz w:val="19"/>
                <w:szCs w:val="19"/>
              </w:rPr>
              <w:t>Minimales Risiko nach der KI-VO, aber erhebliche Verstöße gegen Datenschutz- und Geheimnisschutzrecht.</w:t>
            </w:r>
          </w:p>
        </w:tc>
      </w:tr>
    </w:tbl>
    <w:p w14:paraId="67FE21A8" w14:textId="580BE158" w:rsidR="006D4FF4" w:rsidRPr="005F785E" w:rsidRDefault="005F785E" w:rsidP="005F785E">
      <w:pPr>
        <w:pStyle w:val="berschrift1"/>
        <w:keepNext/>
        <w:spacing w:before="360" w:after="180"/>
        <w:rPr>
          <w:b/>
          <w:bCs/>
          <w:color w:val="1A5FB4"/>
          <w:sz w:val="30"/>
          <w:szCs w:val="30"/>
          <w:u w:val="single"/>
        </w:rPr>
      </w:pPr>
      <w:bookmarkStart w:id="4" w:name="_Toc240324991"/>
      <w:r>
        <w:rPr>
          <w:b/>
          <w:bCs/>
          <w:color w:val="1A5FB4"/>
          <w:sz w:val="30"/>
          <w:szCs w:val="30"/>
          <w:u w:val="single"/>
        </w:rPr>
        <w:lastRenderedPageBreak/>
        <w:br/>
      </w:r>
      <w:r>
        <w:rPr>
          <w:b/>
          <w:bCs/>
          <w:color w:val="1A5FB4"/>
          <w:sz w:val="30"/>
          <w:szCs w:val="30"/>
          <w:u w:val="single"/>
        </w:rPr>
        <w:br/>
      </w:r>
      <w:r w:rsidR="00000000" w:rsidRPr="005F785E">
        <w:rPr>
          <w:b/>
          <w:bCs/>
          <w:color w:val="1A5FB4"/>
          <w:sz w:val="30"/>
          <w:szCs w:val="30"/>
          <w:u w:val="single"/>
        </w:rPr>
        <w:t>Fragenkatalog</w:t>
      </w:r>
      <w:bookmarkEnd w:id="4"/>
    </w:p>
    <w:p w14:paraId="1B5E11F6" w14:textId="77777777" w:rsidR="006D4FF4" w:rsidRDefault="00000000">
      <w:pPr>
        <w:spacing w:after="120"/>
      </w:pPr>
      <w:r>
        <w:t>Diese zehn Fragen sind bei jedem Prüffall identisch zu beantworten.</w:t>
      </w:r>
    </w:p>
    <w:p w14:paraId="02E3BB60" w14:textId="5A24F37E" w:rsidR="006D4FF4" w:rsidRDefault="00000000">
      <w:pPr>
        <w:pStyle w:val="Listenabsatz"/>
        <w:numPr>
          <w:ilvl w:val="0"/>
          <w:numId w:val="2"/>
        </w:numPr>
        <w:spacing w:after="60"/>
      </w:pPr>
      <w:r>
        <w:rPr>
          <w:b/>
          <w:bCs/>
        </w:rPr>
        <w:t xml:space="preserve">Frage 1: </w:t>
      </w:r>
      <w:r w:rsidR="005F785E">
        <w:rPr>
          <w:b/>
          <w:bCs/>
        </w:rPr>
        <w:br/>
      </w:r>
      <w:proofErr w:type="gramStart"/>
      <w:r>
        <w:t>Liegt</w:t>
      </w:r>
      <w:proofErr w:type="gramEnd"/>
      <w:r>
        <w:t xml:space="preserve"> ein KI-System im Sinne des Art. 3 Nr. 1 KI-VO vor? Begründen Sie anhand der einzelnen Begriffsmerkmale.</w:t>
      </w:r>
    </w:p>
    <w:p w14:paraId="7597FD68" w14:textId="5DE94C67" w:rsidR="006D4FF4" w:rsidRDefault="00000000">
      <w:pPr>
        <w:pStyle w:val="Listenabsatz"/>
        <w:numPr>
          <w:ilvl w:val="0"/>
          <w:numId w:val="2"/>
        </w:numPr>
        <w:spacing w:after="60"/>
      </w:pPr>
      <w:r>
        <w:rPr>
          <w:b/>
          <w:bCs/>
        </w:rPr>
        <w:t xml:space="preserve">Frage 2: </w:t>
      </w:r>
      <w:r w:rsidR="005F785E">
        <w:rPr>
          <w:b/>
          <w:bCs/>
        </w:rPr>
        <w:br/>
      </w:r>
      <w:r>
        <w:t>Ist der Anwendungsbereich der KI-VO eröffnet oder greift eine Bereichsausnahme (Art. 2, Art. 111 Abs. 2 KI-VO)?</w:t>
      </w:r>
    </w:p>
    <w:p w14:paraId="62E16D14" w14:textId="569E0E13" w:rsidR="006D4FF4" w:rsidRDefault="00000000">
      <w:pPr>
        <w:pStyle w:val="Listenabsatz"/>
        <w:numPr>
          <w:ilvl w:val="0"/>
          <w:numId w:val="2"/>
        </w:numPr>
        <w:spacing w:after="60"/>
      </w:pPr>
      <w:r>
        <w:rPr>
          <w:b/>
          <w:bCs/>
        </w:rPr>
        <w:t xml:space="preserve">Frage 3: </w:t>
      </w:r>
      <w:r w:rsidR="005F785E">
        <w:rPr>
          <w:b/>
          <w:bCs/>
        </w:rPr>
        <w:br/>
      </w:r>
      <w:r>
        <w:t>In welcher Rolle handelt die Behörde (Art. 3 Nr. 3, Nr. 4 KI-VO)? Kommt ein Rollenwechsel zum Anbieter nach Art. 25 KI-VO in Betracht?</w:t>
      </w:r>
    </w:p>
    <w:p w14:paraId="7D22710D" w14:textId="088EDEED" w:rsidR="006D4FF4" w:rsidRDefault="00000000">
      <w:pPr>
        <w:pStyle w:val="Listenabsatz"/>
        <w:numPr>
          <w:ilvl w:val="0"/>
          <w:numId w:val="2"/>
        </w:numPr>
        <w:spacing w:after="60"/>
      </w:pPr>
      <w:r>
        <w:rPr>
          <w:b/>
          <w:bCs/>
        </w:rPr>
        <w:t xml:space="preserve">Frage 4: </w:t>
      </w:r>
      <w:r w:rsidR="005F785E">
        <w:rPr>
          <w:b/>
          <w:bCs/>
        </w:rPr>
        <w:br/>
      </w:r>
      <w:r>
        <w:t>Wie lautet die Zweckbestimmung (Art. 3 Nr. 12 KI-VO), und weicht die tatsächlich beabsichtigte Verwendung davon ab?</w:t>
      </w:r>
    </w:p>
    <w:p w14:paraId="2D58094B" w14:textId="6C0ACC6A" w:rsidR="006D4FF4" w:rsidRDefault="00000000">
      <w:pPr>
        <w:pStyle w:val="Listenabsatz"/>
        <w:numPr>
          <w:ilvl w:val="0"/>
          <w:numId w:val="2"/>
        </w:numPr>
        <w:spacing w:after="60"/>
      </w:pPr>
      <w:r>
        <w:rPr>
          <w:b/>
          <w:bCs/>
        </w:rPr>
        <w:t xml:space="preserve">Frage 5: </w:t>
      </w:r>
      <w:r w:rsidR="005F785E">
        <w:rPr>
          <w:b/>
          <w:bCs/>
        </w:rPr>
        <w:br/>
      </w:r>
      <w:proofErr w:type="gramStart"/>
      <w:r>
        <w:t>Liegt</w:t>
      </w:r>
      <w:proofErr w:type="gramEnd"/>
      <w:r>
        <w:t xml:space="preserve"> eine verbotene Praktik nach Art. 5 KI-VO vor? Welcher Buchstabe kommt in Betracht, und welche Abgrenzung ist zu treffen?</w:t>
      </w:r>
    </w:p>
    <w:p w14:paraId="2569489B" w14:textId="7550DFB0" w:rsidR="006D4FF4" w:rsidRDefault="00000000">
      <w:pPr>
        <w:pStyle w:val="Listenabsatz"/>
        <w:numPr>
          <w:ilvl w:val="0"/>
          <w:numId w:val="2"/>
        </w:numPr>
        <w:spacing w:after="60"/>
      </w:pPr>
      <w:r>
        <w:rPr>
          <w:b/>
          <w:bCs/>
        </w:rPr>
        <w:t xml:space="preserve">Frage 6: </w:t>
      </w:r>
      <w:r w:rsidR="005F785E">
        <w:rPr>
          <w:b/>
          <w:bCs/>
        </w:rPr>
        <w:br/>
      </w:r>
      <w:proofErr w:type="gramStart"/>
      <w:r>
        <w:t>Liegt</w:t>
      </w:r>
      <w:proofErr w:type="gramEnd"/>
      <w:r>
        <w:t xml:space="preserve"> ein Hochrisiko-Fall nach Art. 6 Abs. 1 i. V. m. Anhang I oder nach Art. 6 Abs. 2 i. V. m. Anhang III vor? Benennen Sie den konkreten Tatbestand.</w:t>
      </w:r>
    </w:p>
    <w:p w14:paraId="53132B4A" w14:textId="3AA25368" w:rsidR="006D4FF4" w:rsidRDefault="00000000">
      <w:pPr>
        <w:pStyle w:val="Listenabsatz"/>
        <w:numPr>
          <w:ilvl w:val="0"/>
          <w:numId w:val="2"/>
        </w:numPr>
        <w:spacing w:after="60"/>
      </w:pPr>
      <w:r>
        <w:rPr>
          <w:b/>
          <w:bCs/>
        </w:rPr>
        <w:t xml:space="preserve">Frage 7: </w:t>
      </w:r>
      <w:r w:rsidR="005F785E">
        <w:rPr>
          <w:b/>
          <w:bCs/>
        </w:rPr>
        <w:br/>
      </w:r>
      <w:proofErr w:type="gramStart"/>
      <w:r>
        <w:t>Greift</w:t>
      </w:r>
      <w:proofErr w:type="gramEnd"/>
      <w:r>
        <w:t xml:space="preserve"> die Ausnahme des Art. 6 Abs. 3 KI-VO? Welche Folgepflichten bestehen auch dann (Art. 6 Abs. 4, Art. 49 Abs. 2 KI-VO)?</w:t>
      </w:r>
    </w:p>
    <w:p w14:paraId="21708C94" w14:textId="006688FD" w:rsidR="006D4FF4" w:rsidRDefault="00000000">
      <w:pPr>
        <w:pStyle w:val="Listenabsatz"/>
        <w:numPr>
          <w:ilvl w:val="0"/>
          <w:numId w:val="2"/>
        </w:numPr>
        <w:spacing w:after="60"/>
      </w:pPr>
      <w:r>
        <w:rPr>
          <w:b/>
          <w:bCs/>
        </w:rPr>
        <w:t xml:space="preserve">Frage 8: </w:t>
      </w:r>
      <w:r w:rsidR="005F785E">
        <w:rPr>
          <w:b/>
          <w:bCs/>
        </w:rPr>
        <w:br/>
      </w:r>
      <w:r>
        <w:t>Welche Risikoklasse ergibt sich als Ergebnis, und ab welchem Zeitpunkt gelten die Pflichten?</w:t>
      </w:r>
    </w:p>
    <w:p w14:paraId="75CDC34F" w14:textId="78A1FAF8" w:rsidR="006D4FF4" w:rsidRDefault="00000000">
      <w:pPr>
        <w:pStyle w:val="Listenabsatz"/>
        <w:numPr>
          <w:ilvl w:val="0"/>
          <w:numId w:val="2"/>
        </w:numPr>
        <w:spacing w:after="60"/>
      </w:pPr>
      <w:r>
        <w:rPr>
          <w:b/>
          <w:bCs/>
        </w:rPr>
        <w:t xml:space="preserve">Frage 9: </w:t>
      </w:r>
      <w:r w:rsidR="005F785E">
        <w:rPr>
          <w:b/>
          <w:bCs/>
        </w:rPr>
        <w:br/>
      </w:r>
      <w:r>
        <w:t>Welche konkreten Maßnahmen und Pflichten treffen die Behörde (insbesondere Art. 26, 27, 49, 86 KI-VO bzw. Anbieterpflichten)? Wer ist in Ihrem Haus jeweils zuständig?</w:t>
      </w:r>
    </w:p>
    <w:p w14:paraId="71CA9AB8" w14:textId="7925EA9C" w:rsidR="006D4FF4" w:rsidRDefault="00000000">
      <w:pPr>
        <w:pStyle w:val="Listenabsatz"/>
        <w:numPr>
          <w:ilvl w:val="0"/>
          <w:numId w:val="2"/>
        </w:numPr>
        <w:spacing w:after="60"/>
      </w:pPr>
      <w:r>
        <w:rPr>
          <w:b/>
          <w:bCs/>
        </w:rPr>
        <w:t xml:space="preserve">Frage 10: </w:t>
      </w:r>
      <w:r w:rsidR="005F785E">
        <w:rPr>
          <w:b/>
          <w:bCs/>
        </w:rPr>
        <w:br/>
      </w:r>
      <w:r>
        <w:t>Welche Transparenzpflichten nach Art. 50 KI-VO und welche flankierenden Prüfungen (Datenschutz, Personalvertretung, Verwaltungsverfahren, IT-Sicherheit, Vergabe, Geheimnisschutz) sind zu veranlassen?</w:t>
      </w:r>
    </w:p>
    <w:p w14:paraId="049E69C7" w14:textId="77777777" w:rsidR="006D4FF4" w:rsidRDefault="00000000">
      <w:r>
        <w:br w:type="page"/>
      </w:r>
    </w:p>
    <w:p w14:paraId="4C4C9E2E" w14:textId="77777777" w:rsidR="006D4FF4" w:rsidRDefault="00000000">
      <w:pPr>
        <w:pStyle w:val="berschrift1"/>
        <w:keepNext/>
        <w:spacing w:before="360" w:after="180"/>
      </w:pPr>
      <w:bookmarkStart w:id="5" w:name="_Toc240324992"/>
      <w:r>
        <w:rPr>
          <w:b/>
          <w:bCs/>
          <w:color w:val="1A5FB4"/>
          <w:sz w:val="30"/>
          <w:szCs w:val="30"/>
        </w:rPr>
        <w:lastRenderedPageBreak/>
        <w:t>Prüffall 1 – Das "Stimmungsbarometer" im Bürgerbüro</w:t>
      </w:r>
      <w:bookmarkEnd w:id="5"/>
    </w:p>
    <w:tbl>
      <w:tblPr>
        <w:tblW w:w="9638"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2200"/>
        <w:gridCol w:w="7438"/>
      </w:tblGrid>
      <w:tr w:rsidR="006D4FF4" w14:paraId="0B60D763" w14:textId="77777777">
        <w:tblPrEx>
          <w:tblCellMar>
            <w:top w:w="0" w:type="dxa"/>
            <w:bottom w:w="0" w:type="dxa"/>
          </w:tblCellMar>
        </w:tblPrEx>
        <w:trPr>
          <w:tblHeader/>
        </w:trPr>
        <w:tc>
          <w:tcPr>
            <w:tcW w:w="2200" w:type="dxa"/>
            <w:shd w:val="clear" w:color="auto" w:fill="1A5FB4"/>
            <w:tcMar>
              <w:top w:w="60" w:type="dxa"/>
              <w:left w:w="100" w:type="dxa"/>
              <w:bottom w:w="60" w:type="dxa"/>
              <w:right w:w="100" w:type="dxa"/>
            </w:tcMar>
          </w:tcPr>
          <w:p w14:paraId="325D2EF7" w14:textId="77777777" w:rsidR="006D4FF4" w:rsidRDefault="00000000">
            <w:pPr>
              <w:spacing w:before="40" w:after="40" w:line="252" w:lineRule="auto"/>
            </w:pPr>
            <w:r>
              <w:rPr>
                <w:b/>
                <w:bCs/>
                <w:color w:val="FFFFFF"/>
                <w:sz w:val="19"/>
                <w:szCs w:val="19"/>
              </w:rPr>
              <w:t>Merkmal</w:t>
            </w:r>
          </w:p>
        </w:tc>
        <w:tc>
          <w:tcPr>
            <w:tcW w:w="7438" w:type="dxa"/>
            <w:shd w:val="clear" w:color="auto" w:fill="1A5FB4"/>
            <w:tcMar>
              <w:top w:w="60" w:type="dxa"/>
              <w:left w:w="100" w:type="dxa"/>
              <w:bottom w:w="60" w:type="dxa"/>
              <w:right w:w="100" w:type="dxa"/>
            </w:tcMar>
          </w:tcPr>
          <w:p w14:paraId="3BDF94EB" w14:textId="77777777" w:rsidR="006D4FF4" w:rsidRDefault="00000000">
            <w:pPr>
              <w:spacing w:before="40" w:after="40" w:line="252" w:lineRule="auto"/>
            </w:pPr>
            <w:r>
              <w:rPr>
                <w:b/>
                <w:bCs/>
                <w:color w:val="FFFFFF"/>
                <w:sz w:val="19"/>
                <w:szCs w:val="19"/>
              </w:rPr>
              <w:t>Angabe</w:t>
            </w:r>
          </w:p>
        </w:tc>
      </w:tr>
      <w:tr w:rsidR="006D4FF4" w14:paraId="58CAAB89" w14:textId="77777777">
        <w:tblPrEx>
          <w:tblCellMar>
            <w:top w:w="0" w:type="dxa"/>
            <w:bottom w:w="0" w:type="dxa"/>
          </w:tblCellMar>
        </w:tblPrEx>
        <w:tc>
          <w:tcPr>
            <w:tcW w:w="2200" w:type="dxa"/>
            <w:tcMar>
              <w:top w:w="60" w:type="dxa"/>
              <w:left w:w="100" w:type="dxa"/>
              <w:bottom w:w="60" w:type="dxa"/>
              <w:right w:w="100" w:type="dxa"/>
            </w:tcMar>
          </w:tcPr>
          <w:p w14:paraId="1D33A68B" w14:textId="77777777" w:rsidR="006D4FF4" w:rsidRDefault="00000000">
            <w:pPr>
              <w:spacing w:before="40" w:after="40" w:line="252" w:lineRule="auto"/>
            </w:pPr>
            <w:r>
              <w:rPr>
                <w:sz w:val="19"/>
                <w:szCs w:val="19"/>
              </w:rPr>
              <w:t>Schwerpunkt</w:t>
            </w:r>
          </w:p>
        </w:tc>
        <w:tc>
          <w:tcPr>
            <w:tcW w:w="7438" w:type="dxa"/>
            <w:tcMar>
              <w:top w:w="60" w:type="dxa"/>
              <w:left w:w="100" w:type="dxa"/>
              <w:bottom w:w="60" w:type="dxa"/>
              <w:right w:w="100" w:type="dxa"/>
            </w:tcMar>
          </w:tcPr>
          <w:p w14:paraId="6188D11A" w14:textId="77777777" w:rsidR="006D4FF4" w:rsidRDefault="00000000">
            <w:pPr>
              <w:spacing w:before="40" w:after="40" w:line="252" w:lineRule="auto"/>
            </w:pPr>
            <w:r>
              <w:rPr>
                <w:sz w:val="19"/>
                <w:szCs w:val="19"/>
              </w:rPr>
              <w:t>Verbotene Praktik</w:t>
            </w:r>
          </w:p>
        </w:tc>
      </w:tr>
      <w:tr w:rsidR="006D4FF4" w14:paraId="33EB7F13" w14:textId="77777777">
        <w:tblPrEx>
          <w:tblCellMar>
            <w:top w:w="0" w:type="dxa"/>
            <w:bottom w:w="0" w:type="dxa"/>
          </w:tblCellMar>
        </w:tblPrEx>
        <w:tc>
          <w:tcPr>
            <w:tcW w:w="2200" w:type="dxa"/>
            <w:shd w:val="clear" w:color="auto" w:fill="FAFAFA"/>
            <w:tcMar>
              <w:top w:w="60" w:type="dxa"/>
              <w:left w:w="100" w:type="dxa"/>
              <w:bottom w:w="60" w:type="dxa"/>
              <w:right w:w="100" w:type="dxa"/>
            </w:tcMar>
          </w:tcPr>
          <w:p w14:paraId="72237F7B" w14:textId="77777777" w:rsidR="006D4FF4" w:rsidRDefault="00000000">
            <w:pPr>
              <w:spacing w:before="40" w:after="40" w:line="252" w:lineRule="auto"/>
            </w:pPr>
            <w:r>
              <w:rPr>
                <w:sz w:val="19"/>
                <w:szCs w:val="19"/>
              </w:rPr>
              <w:t>Lernziel</w:t>
            </w:r>
          </w:p>
        </w:tc>
        <w:tc>
          <w:tcPr>
            <w:tcW w:w="7438" w:type="dxa"/>
            <w:shd w:val="clear" w:color="auto" w:fill="FAFAFA"/>
            <w:tcMar>
              <w:top w:w="60" w:type="dxa"/>
              <w:left w:w="100" w:type="dxa"/>
              <w:bottom w:w="60" w:type="dxa"/>
              <w:right w:w="100" w:type="dxa"/>
            </w:tcMar>
          </w:tcPr>
          <w:p w14:paraId="56DE9448" w14:textId="77777777" w:rsidR="006D4FF4" w:rsidRDefault="00000000">
            <w:pPr>
              <w:spacing w:before="40" w:after="40" w:line="252" w:lineRule="auto"/>
            </w:pPr>
            <w:r>
              <w:rPr>
                <w:sz w:val="19"/>
                <w:szCs w:val="19"/>
              </w:rPr>
              <w:t>Erkennen, dass Art. 5 KI-VO vorrangig zu prüfen ist und ein Verbot die weitere Prüfung beendet.</w:t>
            </w:r>
          </w:p>
        </w:tc>
      </w:tr>
      <w:tr w:rsidR="006D4FF4" w14:paraId="6602FA1B" w14:textId="77777777">
        <w:tblPrEx>
          <w:tblCellMar>
            <w:top w:w="0" w:type="dxa"/>
            <w:bottom w:w="0" w:type="dxa"/>
          </w:tblCellMar>
        </w:tblPrEx>
        <w:tc>
          <w:tcPr>
            <w:tcW w:w="2200" w:type="dxa"/>
            <w:tcMar>
              <w:top w:w="60" w:type="dxa"/>
              <w:left w:w="100" w:type="dxa"/>
              <w:bottom w:w="60" w:type="dxa"/>
              <w:right w:w="100" w:type="dxa"/>
            </w:tcMar>
          </w:tcPr>
          <w:p w14:paraId="6C76CB79" w14:textId="77777777" w:rsidR="006D4FF4" w:rsidRDefault="00000000">
            <w:pPr>
              <w:spacing w:before="40" w:after="40" w:line="252" w:lineRule="auto"/>
            </w:pPr>
            <w:r>
              <w:rPr>
                <w:sz w:val="19"/>
                <w:szCs w:val="19"/>
              </w:rPr>
              <w:t>Ergebnis</w:t>
            </w:r>
          </w:p>
        </w:tc>
        <w:tc>
          <w:tcPr>
            <w:tcW w:w="7438" w:type="dxa"/>
            <w:tcMar>
              <w:top w:w="60" w:type="dxa"/>
              <w:left w:w="100" w:type="dxa"/>
              <w:bottom w:w="60" w:type="dxa"/>
              <w:right w:w="100" w:type="dxa"/>
            </w:tcMar>
          </w:tcPr>
          <w:p w14:paraId="2468DD6A" w14:textId="77777777" w:rsidR="006D4FF4" w:rsidRDefault="00000000">
            <w:pPr>
              <w:spacing w:before="40" w:after="40" w:line="252" w:lineRule="auto"/>
            </w:pPr>
            <w:r w:rsidRPr="005F785E">
              <w:rPr>
                <w:color w:val="000000" w:themeColor="text1"/>
                <w:sz w:val="19"/>
              </w:rPr>
              <w:t>Beschäftigtenbezogene Belastungsmessung verboten nach Art. 5 Abs. 1 Buchst. f KI-VO; Aggressionserkennung nur bei tragfähiger Sicherheitsausnahme und dann grundsätzlich Hochrisiko nach Anhang III Nr. 1 Buchst. c.</w:t>
            </w:r>
          </w:p>
        </w:tc>
      </w:tr>
    </w:tbl>
    <w:p w14:paraId="1B41CC68" w14:textId="77777777" w:rsidR="006D4FF4" w:rsidRDefault="006D4FF4">
      <w:pPr>
        <w:spacing w:after="140"/>
      </w:pPr>
    </w:p>
    <w:p w14:paraId="65B5D06B" w14:textId="77777777" w:rsidR="006D4FF4" w:rsidRDefault="00000000">
      <w:pPr>
        <w:pStyle w:val="berschrift2"/>
        <w:keepNext/>
        <w:spacing w:before="280" w:after="140"/>
      </w:pPr>
      <w:bookmarkStart w:id="6" w:name="_Toc240324993"/>
      <w:r>
        <w:rPr>
          <w:b/>
          <w:bCs/>
          <w:color w:val="1A5FB4"/>
          <w:sz w:val="25"/>
          <w:szCs w:val="25"/>
        </w:rPr>
        <w:t>Musterlösung</w:t>
      </w:r>
      <w:bookmarkEnd w:id="6"/>
    </w:p>
    <w:p w14:paraId="0B097EA1" w14:textId="77777777" w:rsidR="006D4FF4" w:rsidRDefault="00000000">
      <w:pPr>
        <w:keepNext/>
        <w:spacing w:before="200" w:after="80"/>
      </w:pPr>
      <w:r>
        <w:rPr>
          <w:b/>
          <w:bCs/>
          <w:color w:val="1A5FB4"/>
        </w:rPr>
        <w:t xml:space="preserve">Frage 1:  </w:t>
      </w:r>
      <w:r>
        <w:rPr>
          <w:b/>
          <w:bCs/>
        </w:rPr>
        <w:t>Liegt ein KI-System im Sinne des Art. 3 Nr. 1 KI-VO vor? Begründen Sie anhand der einzelnen Begriffsmerkmale.</w:t>
      </w:r>
    </w:p>
    <w:p w14:paraId="064B8D3B" w14:textId="77777777" w:rsidR="006D4FF4" w:rsidRDefault="00000000">
      <w:pPr>
        <w:spacing w:after="100"/>
      </w:pPr>
      <w:r>
        <w:t xml:space="preserve">Ja. Maschinengestütztes System; autonomer Betrieb (laufende Auswertung ohne Einzelanweisung); Anpassungsfähigkeit ausdrücklich gegeben (lernt weiter); implizites Ziel der Belastungserkennung; Ableitungsfähigkeit als Kernmerkmal (aus Bild- und </w:t>
      </w:r>
      <w:proofErr w:type="spellStart"/>
      <w:r>
        <w:t>Tondaten</w:t>
      </w:r>
      <w:proofErr w:type="spellEnd"/>
      <w:r>
        <w:t xml:space="preserve"> wird auf einen Zustand geschlossen); Ausgaben (Index, Alarm) beeinflussen die virtuelle und physische Umgebung.</w:t>
      </w:r>
    </w:p>
    <w:p w14:paraId="1B75C064" w14:textId="77777777" w:rsidR="006D4FF4" w:rsidRDefault="00000000">
      <w:pPr>
        <w:keepNext/>
        <w:spacing w:before="200" w:after="80"/>
      </w:pPr>
      <w:r>
        <w:rPr>
          <w:b/>
          <w:bCs/>
          <w:color w:val="1A5FB4"/>
        </w:rPr>
        <w:t xml:space="preserve">Frage 2:  </w:t>
      </w:r>
      <w:r>
        <w:rPr>
          <w:b/>
          <w:bCs/>
        </w:rPr>
        <w:t>Ist der Anwendungsbereich der KI-VO eröffnet oder greift eine Bereichsausnahme (Art. 2, Art. 111 Abs. 2 KI-VO)?</w:t>
      </w:r>
    </w:p>
    <w:p w14:paraId="0F627966" w14:textId="77777777" w:rsidR="006D4FF4" w:rsidRDefault="00000000">
      <w:pPr>
        <w:spacing w:after="100"/>
      </w:pPr>
      <w:r>
        <w:t>Ja, eröffnet. Keine Ausnahme: Kein Zweck der nationalen Sicherheit; keine Forschung – der "Testbetrieb" ist ein Test unter Realbedingungen mit echten Beschäftigten und Bürgern und damit nach Art. 2 Abs. 8 KI-VO gerade nicht ausgenommen. Sitz des Anbieters in der Union ist ohnehin unerheblich (Art. 2 Abs. 1 KI-VO).</w:t>
      </w:r>
    </w:p>
    <w:p w14:paraId="4FD7F2F4" w14:textId="77777777" w:rsidR="006D4FF4" w:rsidRDefault="00000000">
      <w:pPr>
        <w:keepNext/>
        <w:spacing w:before="200" w:after="80"/>
      </w:pPr>
      <w:r>
        <w:rPr>
          <w:b/>
          <w:bCs/>
          <w:color w:val="1A5FB4"/>
        </w:rPr>
        <w:t xml:space="preserve">Frage 3:  </w:t>
      </w:r>
      <w:r>
        <w:rPr>
          <w:b/>
          <w:bCs/>
        </w:rPr>
        <w:t>In welcher Rolle handelt die Behörde (Art. 3 Nr. 3, Nr. 4 KI-VO)? Kommt ein Rollenwechsel zum Anbieter nach Art. 25 KI-VO in Betracht?</w:t>
      </w:r>
    </w:p>
    <w:p w14:paraId="2A905D9F" w14:textId="77777777" w:rsidR="006D4FF4" w:rsidRDefault="00000000">
      <w:pPr>
        <w:spacing w:after="100"/>
      </w:pPr>
      <w:r>
        <w:t>Die Stadt ist Betreiberin (Art. 3 Nr. 4 KI-VO). Ein Rollenwechsel nach Art. 25 KI-VO liegt nicht vor: keine eigene Marke, keine wesentliche Änderung, keine Zweckänderung. Der Anbieter bleibt "</w:t>
      </w:r>
      <w:proofErr w:type="spellStart"/>
      <w:r>
        <w:t>MoodSense</w:t>
      </w:r>
      <w:proofErr w:type="spellEnd"/>
      <w:r>
        <w:t>".</w:t>
      </w:r>
    </w:p>
    <w:p w14:paraId="7F647493" w14:textId="77777777" w:rsidR="006D4FF4" w:rsidRDefault="00000000">
      <w:pPr>
        <w:keepNext/>
        <w:spacing w:before="200" w:after="80"/>
      </w:pPr>
      <w:r>
        <w:rPr>
          <w:b/>
          <w:bCs/>
          <w:color w:val="1A5FB4"/>
        </w:rPr>
        <w:t xml:space="preserve">Frage 4:  </w:t>
      </w:r>
      <w:r>
        <w:rPr>
          <w:b/>
          <w:bCs/>
        </w:rPr>
        <w:t>Wie lautet die Zweckbestimmung (Art. 3 Nr. 12 KI-VO), und weicht die tatsächlich beabsichtigte Verwendung davon ab?</w:t>
      </w:r>
    </w:p>
    <w:p w14:paraId="4BD9271C" w14:textId="77777777" w:rsidR="006D4FF4" w:rsidRDefault="00000000">
      <w:pPr>
        <w:spacing w:after="100"/>
      </w:pPr>
      <w:r>
        <w:t>Zweckbestimmung laut Anbieter: Erkennung von Belastungssituationen am Arbeitsplatz sowie Aggressionserkennung. Die beabsichtigte Verwendung deckt sich damit – das Problem liegt nicht in der Abweichung, sondern im Zweck selbst.</w:t>
      </w:r>
    </w:p>
    <w:p w14:paraId="64BE32D0" w14:textId="77777777" w:rsidR="006D4FF4" w:rsidRDefault="00000000">
      <w:pPr>
        <w:keepNext/>
        <w:spacing w:before="200" w:after="80"/>
      </w:pPr>
      <w:r>
        <w:rPr>
          <w:b/>
          <w:bCs/>
          <w:color w:val="1A5FB4"/>
        </w:rPr>
        <w:t xml:space="preserve">Frage 5:  </w:t>
      </w:r>
      <w:r>
        <w:rPr>
          <w:b/>
          <w:bCs/>
        </w:rPr>
        <w:t>Liegt eine verbotene Praktik nach Art. 5 KI-VO vor? Welcher Buchstabe kommt in Betracht, und welche Abgrenzung ist zu treffen?</w:t>
      </w:r>
    </w:p>
    <w:p w14:paraId="6FB04700" w14:textId="77777777" w:rsidR="006D4FF4" w:rsidRPr="005F785E" w:rsidRDefault="00000000">
      <w:pPr>
        <w:spacing w:after="100"/>
        <w:rPr>
          <w:color w:val="000000" w:themeColor="text1"/>
        </w:rPr>
      </w:pPr>
      <w:r w:rsidRPr="005F785E">
        <w:rPr>
          <w:color w:val="000000" w:themeColor="text1"/>
        </w:rPr>
        <w:t>Ja, hinsichtlich der Belastungsmessung der Beschäftigten. Art. 5 Abs. 1 Buchst. f KI-VO verbietet Emotionserkennung in Bereichen des Arbeitsplatzes. Die medizinische oder sicherheitsbezogene Ausnahme greift für die Messung von Stress zur Pausensteuerung nicht; sie dient der Arbeitsorganisation. Auch die Aggressionserkennung bei Bürgerinnen und Bürgern findet im Bereich des Arbeitsplatzes statt und fällt daher zunächst unter Buchst. f. Sie kann jedoch von der eng auszulegenden Ausnahme für Sicherheitsgründe erfasst sein, wenn sie strikt als Gefahrenwarnung zum Schutz von Personen bestimmt, erforderlich und verhältnismäßig ausgestaltet ist. Greift diese Ausnahme, ist die Funktion zusätzlich als Emotionserkennung nach Anhang III Nr. 1 Buchst. c und datenschutzrechtlich zu prüfen. Die behauptete Aggregation ändert am Verbot der Beschäftigtenfunktion nichts.</w:t>
      </w:r>
    </w:p>
    <w:p w14:paraId="58A0CB5A" w14:textId="77777777" w:rsidR="006D4FF4" w:rsidRDefault="00000000">
      <w:pPr>
        <w:keepNext/>
        <w:spacing w:before="200" w:after="80"/>
      </w:pPr>
      <w:r>
        <w:rPr>
          <w:b/>
          <w:bCs/>
          <w:color w:val="1A5FB4"/>
        </w:rPr>
        <w:lastRenderedPageBreak/>
        <w:t xml:space="preserve">Frage 6:  </w:t>
      </w:r>
      <w:r>
        <w:rPr>
          <w:b/>
          <w:bCs/>
        </w:rPr>
        <w:t>Liegt ein Hochrisiko-Fall nach Art. 6 Abs. 1 i. V. m. Anhang I oder nach Art. 6 Abs. 2 i. V. m. Anhang III vor? Benennen Sie den konkreten Tatbestand.</w:t>
      </w:r>
    </w:p>
    <w:p w14:paraId="2BA61B61" w14:textId="77777777" w:rsidR="006D4FF4" w:rsidRPr="005F785E" w:rsidRDefault="00000000">
      <w:pPr>
        <w:spacing w:after="100"/>
        <w:rPr>
          <w:color w:val="000000" w:themeColor="text1"/>
        </w:rPr>
      </w:pPr>
      <w:r w:rsidRPr="005F785E">
        <w:rPr>
          <w:color w:val="000000" w:themeColor="text1"/>
        </w:rPr>
        <w:t>Die Prüfung endet für die Belastungsmessung der Beschäftigten bereits bei Art. 5. Die Aggressionserkennung ist als eigenständige Funktion zu behandeln: Nur wenn die Sicherheitsausnahme des Art. 5 Abs. 1 Buchst. f trägt, ist Anhang III Nr. 1 Buchst. c einschlägig; dann liegt grundsätzlich ein Hochrisiko-KI-System vor.</w:t>
      </w:r>
    </w:p>
    <w:p w14:paraId="1E75305B" w14:textId="77777777" w:rsidR="006D4FF4" w:rsidRDefault="00000000">
      <w:pPr>
        <w:keepNext/>
        <w:spacing w:before="200" w:after="80"/>
      </w:pPr>
      <w:r>
        <w:rPr>
          <w:b/>
          <w:bCs/>
          <w:color w:val="1A5FB4"/>
        </w:rPr>
        <w:t xml:space="preserve">Frage 7:  </w:t>
      </w:r>
      <w:r>
        <w:rPr>
          <w:b/>
          <w:bCs/>
        </w:rPr>
        <w:t>Greift die Ausnahme des Art. 6 Abs. 3 KI-VO? Welche Folgepflichten bestehen auch dann (Art. 6 Abs. 4, Art. 49 Abs. 2 KI-VO)?</w:t>
      </w:r>
    </w:p>
    <w:p w14:paraId="10CCDDEA" w14:textId="77777777" w:rsidR="006D4FF4" w:rsidRPr="005F785E" w:rsidRDefault="00000000">
      <w:pPr>
        <w:spacing w:after="100"/>
        <w:rPr>
          <w:color w:val="000000" w:themeColor="text1"/>
        </w:rPr>
      </w:pPr>
      <w:r w:rsidRPr="005F785E">
        <w:rPr>
          <w:color w:val="000000" w:themeColor="text1"/>
        </w:rPr>
        <w:t>Für die verbotene Beschäftigtenfunktion nicht einschlägig: Art. 6 Abs. 3 KI-VO ist keine Ausnahme von Art. 5 KI-VO. Für die nur bei tragfähiger Sicherheitsausnahme zulässige Aggressionserkennung greift Art. 6 Abs. 3 regelmäßig nicht, weil die Ausgabe unmittelbar den Alarm auslöst und damit das Ergebnis wesentlich beeinflusst.</w:t>
      </w:r>
    </w:p>
    <w:p w14:paraId="1E6A1F18" w14:textId="77777777" w:rsidR="006D4FF4" w:rsidRDefault="00000000">
      <w:pPr>
        <w:keepNext/>
        <w:spacing w:before="200" w:after="80"/>
      </w:pPr>
      <w:r>
        <w:rPr>
          <w:b/>
          <w:bCs/>
          <w:color w:val="1A5FB4"/>
        </w:rPr>
        <w:t xml:space="preserve">Frage 8:  </w:t>
      </w:r>
      <w:r>
        <w:rPr>
          <w:b/>
          <w:bCs/>
        </w:rPr>
        <w:t>Welche Risikoklasse ergibt sich als Ergebnis, und ab welchem Zeitpunkt gelten die Pflichten?</w:t>
      </w:r>
    </w:p>
    <w:p w14:paraId="6837A153" w14:textId="77777777" w:rsidR="006D4FF4" w:rsidRPr="005F785E" w:rsidRDefault="00000000">
      <w:pPr>
        <w:spacing w:after="100"/>
        <w:rPr>
          <w:color w:val="000000" w:themeColor="text1"/>
        </w:rPr>
      </w:pPr>
      <w:r w:rsidRPr="005F785E">
        <w:rPr>
          <w:color w:val="000000" w:themeColor="text1"/>
        </w:rPr>
        <w:t>Die Belastungsmessung der Beschäftigten ist eine verbotene Praktik. Art. 5 KI-VO gilt insoweit seit dem 2. Februar 2025; diese Funktion ist sofort einzustellen. Die Aggressionserkennung darf nur getrennt weitergeprüft werden, wenn die Sicherheitsausnahme tragfähig dokumentiert ist; dann ist sie grundsätzlich Hochrisiko nach Anhang III Nr. 1 Buchst. c.</w:t>
      </w:r>
    </w:p>
    <w:p w14:paraId="3934E38A" w14:textId="77777777" w:rsidR="006D4FF4" w:rsidRDefault="00000000">
      <w:pPr>
        <w:keepNext/>
        <w:spacing w:before="200" w:after="80"/>
      </w:pPr>
      <w:r>
        <w:rPr>
          <w:b/>
          <w:bCs/>
          <w:color w:val="1A5FB4"/>
        </w:rPr>
        <w:t xml:space="preserve">Frage 9:  </w:t>
      </w:r>
      <w:r>
        <w:rPr>
          <w:b/>
          <w:bCs/>
        </w:rPr>
        <w:t>Welche konkreten Maßnahmen und Pflichten treffen die Behörde (insbesondere Art. 26, 27, 49, 86 KI-VO bzw. Anbieterpflichten)? Wer ist in Ihrem Haus jeweils zuständig?</w:t>
      </w:r>
    </w:p>
    <w:p w14:paraId="3D09FEAC" w14:textId="77777777" w:rsidR="006D4FF4" w:rsidRPr="005F785E" w:rsidRDefault="00000000">
      <w:pPr>
        <w:spacing w:after="100"/>
        <w:rPr>
          <w:color w:val="000000" w:themeColor="text1"/>
        </w:rPr>
      </w:pPr>
      <w:r w:rsidRPr="005F785E">
        <w:rPr>
          <w:color w:val="000000" w:themeColor="text1"/>
        </w:rPr>
        <w:t>Sofortige Abschaltung der Beschäftigtenfunktion; Rechtmäßigkeit und Löschung der bereits erhobenen Daten prüfen; Amtsleitung und Rechtsstelle unterrichten; Vorgang dokumentieren und eine Meldung an die zuständige Aufsicht prüfen. Für die Aggressionserkennung ist die Sicherheitsausnahme gesondert zu dokumentieren. Trägt sie nicht oder ist eine weniger eingriffsintensive Lösung gleich geeignet, ist auch diese Funktion abzuschalten; vorzugswürdig ist ein nicht biometrisches Notrufsystem. Belastungsspitzen lassen sich über Fallzahlen, Wartezeiten und Personalkennzahlen steuern.</w:t>
      </w:r>
    </w:p>
    <w:p w14:paraId="437BE8A5" w14:textId="77777777" w:rsidR="006D4FF4" w:rsidRDefault="00000000">
      <w:pPr>
        <w:keepNext/>
        <w:spacing w:before="200" w:after="80"/>
      </w:pPr>
      <w:r>
        <w:rPr>
          <w:b/>
          <w:bCs/>
          <w:color w:val="1A5FB4"/>
        </w:rPr>
        <w:t xml:space="preserve">Frage 10:  </w:t>
      </w:r>
      <w:r>
        <w:rPr>
          <w:b/>
          <w:bCs/>
        </w:rPr>
        <w:t>Welche Transparenzpflichten nach Art. 50 KI-VO und welche flankierenden Prüfungen (Datenschutz, Personalvertretung, Verwaltungsverfahren, IT-Sicherheit, Vergabe, Geheimnisschutz) sind zu veranlassen?</w:t>
      </w:r>
    </w:p>
    <w:p w14:paraId="0398EBD2" w14:textId="77777777" w:rsidR="006D4FF4" w:rsidRPr="005F785E" w:rsidRDefault="00000000">
      <w:pPr>
        <w:spacing w:after="100"/>
        <w:rPr>
          <w:color w:val="000000" w:themeColor="text1"/>
        </w:rPr>
      </w:pPr>
      <w:r w:rsidRPr="005F785E">
        <w:rPr>
          <w:color w:val="000000" w:themeColor="text1"/>
        </w:rPr>
        <w:t>Für die verbotene Beschäftigtenfunktion schafft Art. 50 KI-VO keine Zulässigkeit. Wird die Aggressionserkennung aufgrund der Sicherheitsausnahme zulässig eingesetzt, sind die betroffenen Personen nach Art. 50 Abs. 3 und 5 KI-VO klar, erkennbar und barrierefrei zu informieren. Flankierend sind insbesondere Rechtsgrundlagen nach Art. 6 und gegebenenfalls Art. 9 DSGVO, die Datenschutz-Folgenabschätzung nach Art. 35 DSGVO, die Mitbestimmung nach Art. 75a BayPVG und bei einer Hochrisiko-Verwendung am Arbeitsplatz zusätzlich Art. 26 Abs. 7 KI-VO zu prüfen; die Datenschutzbeauftragte Person ist zu beteiligen.</w:t>
      </w:r>
    </w:p>
    <w:p w14:paraId="1C9B7DA8" w14:textId="77777777" w:rsidR="006D4FF4" w:rsidRPr="005F785E" w:rsidRDefault="00000000">
      <w:pPr>
        <w:pStyle w:val="berschrift2"/>
        <w:keepNext/>
        <w:spacing w:before="280" w:after="140"/>
        <w:rPr>
          <w:u w:val="single"/>
        </w:rPr>
      </w:pPr>
      <w:bookmarkStart w:id="7" w:name="_Toc240324994"/>
      <w:r w:rsidRPr="005F785E">
        <w:rPr>
          <w:b/>
          <w:bCs/>
          <w:color w:val="1A5FB4"/>
          <w:sz w:val="25"/>
          <w:szCs w:val="25"/>
          <w:u w:val="single"/>
        </w:rPr>
        <w:t>Stolpersteine und Diskussionsimpulse</w:t>
      </w:r>
      <w:bookmarkEnd w:id="7"/>
    </w:p>
    <w:p w14:paraId="14304983" w14:textId="77777777" w:rsidR="006D4FF4" w:rsidRDefault="00000000">
      <w:pPr>
        <w:pStyle w:val="Listenabsatz"/>
        <w:numPr>
          <w:ilvl w:val="0"/>
          <w:numId w:val="2"/>
        </w:numPr>
        <w:spacing w:after="60"/>
      </w:pPr>
      <w:r>
        <w:t xml:space="preserve">Teilnehmende argumentieren häufig über die Anonymisierung. Zu betonen: Art. 5 Abs. 1 </w:t>
      </w:r>
      <w:proofErr w:type="spellStart"/>
      <w:r>
        <w:t>lit</w:t>
      </w:r>
      <w:proofErr w:type="spellEnd"/>
      <w:r>
        <w:t>. f KI-VO knüpft an die Emotionserkennung als solche an, nicht an die Identifizierbarkeit.</w:t>
      </w:r>
    </w:p>
    <w:p w14:paraId="1B80D1E7" w14:textId="77777777" w:rsidR="006D4FF4" w:rsidRDefault="00000000">
      <w:pPr>
        <w:pStyle w:val="Listenabsatz"/>
        <w:numPr>
          <w:ilvl w:val="0"/>
          <w:numId w:val="2"/>
        </w:numPr>
        <w:spacing w:after="60"/>
      </w:pPr>
      <w:r>
        <w:t xml:space="preserve">Beliebter Fehlgriff: "gute Absicht" (Gesundheitsschutz) als Rechtfertigung. Die Ausnahme in </w:t>
      </w:r>
      <w:proofErr w:type="spellStart"/>
      <w:r>
        <w:t>lit</w:t>
      </w:r>
      <w:proofErr w:type="spellEnd"/>
      <w:r>
        <w:t>. f ist eng und zielt auf medizinische Zwecke im engeren Sinne und auf Sicherheitsgründe.</w:t>
      </w:r>
    </w:p>
    <w:p w14:paraId="38013DF2" w14:textId="77777777" w:rsidR="006D4FF4" w:rsidRDefault="00000000">
      <w:pPr>
        <w:pStyle w:val="Listenabsatz"/>
        <w:numPr>
          <w:ilvl w:val="0"/>
          <w:numId w:val="2"/>
        </w:numPr>
        <w:spacing w:after="60"/>
      </w:pPr>
      <w:r>
        <w:t>Die Doppelfunktion des Systems (Beschäftigte / Bürger) trennen lassen – sie führt zu zwei unterschiedlichen Ergebnissen.</w:t>
      </w:r>
    </w:p>
    <w:p w14:paraId="5EED0A62" w14:textId="77777777" w:rsidR="005F785E" w:rsidRDefault="005F785E" w:rsidP="005F785E">
      <w:pPr>
        <w:spacing w:after="60"/>
      </w:pPr>
    </w:p>
    <w:p w14:paraId="7ED266CE" w14:textId="77777777" w:rsidR="005F785E" w:rsidRDefault="005F785E" w:rsidP="005F785E">
      <w:pPr>
        <w:spacing w:after="60"/>
      </w:pPr>
    </w:p>
    <w:p w14:paraId="22B23B24" w14:textId="77777777" w:rsidR="006D4FF4" w:rsidRDefault="00000000">
      <w:pPr>
        <w:pBdr>
          <w:top w:val="single" w:sz="6" w:space="0" w:color="1A5FB4"/>
          <w:left w:val="single" w:sz="18" w:space="0" w:color="1A5FB4"/>
          <w:bottom w:val="single" w:sz="6" w:space="0" w:color="1A5FB4"/>
          <w:right w:val="single" w:sz="6" w:space="0" w:color="1A5FB4"/>
        </w:pBdr>
        <w:shd w:val="clear" w:color="auto" w:fill="EAF1FB"/>
        <w:spacing w:before="160"/>
      </w:pPr>
      <w:r>
        <w:rPr>
          <w:b/>
          <w:bCs/>
          <w:color w:val="0B3B7A"/>
        </w:rPr>
        <w:lastRenderedPageBreak/>
        <w:t>Ergebnis in einem Satz</w:t>
      </w:r>
    </w:p>
    <w:p w14:paraId="2A939FD5" w14:textId="77777777" w:rsidR="006D4FF4" w:rsidRPr="005F785E" w:rsidRDefault="00000000">
      <w:pPr>
        <w:pBdr>
          <w:left w:val="single" w:sz="18" w:space="0" w:color="1A5FB4"/>
          <w:bottom w:val="single" w:sz="6" w:space="0" w:color="1A5FB4"/>
          <w:right w:val="single" w:sz="6" w:space="0" w:color="1A5FB4"/>
        </w:pBdr>
        <w:shd w:val="clear" w:color="auto" w:fill="EAF1FB"/>
        <w:spacing w:after="160"/>
        <w:rPr>
          <w:color w:val="000000" w:themeColor="text1"/>
        </w:rPr>
      </w:pPr>
      <w:r w:rsidRPr="005F785E">
        <w:rPr>
          <w:color w:val="000000" w:themeColor="text1"/>
          <w:sz w:val="20"/>
        </w:rPr>
        <w:t>Beschäftigtenbezogene Belastungsmessung verboten nach Art. 5 Abs. 1 Buchst. f KI-VO; Aggressionserkennung nur bei tragfähiger Sicherheitsausnahme und dann grundsätzlich Hochrisiko nach Anhang III Nr. 1 Buchst. c.</w:t>
      </w:r>
    </w:p>
    <w:p w14:paraId="7C677A5A" w14:textId="77777777" w:rsidR="006D4FF4" w:rsidRDefault="00000000">
      <w:r>
        <w:br w:type="page"/>
      </w:r>
    </w:p>
    <w:p w14:paraId="28CDD5F1" w14:textId="77777777" w:rsidR="006D4FF4" w:rsidRDefault="00000000">
      <w:pPr>
        <w:pStyle w:val="berschrift1"/>
        <w:keepNext/>
        <w:spacing w:before="360" w:after="180"/>
      </w:pPr>
      <w:bookmarkStart w:id="8" w:name="_Toc240324995"/>
      <w:r>
        <w:rPr>
          <w:b/>
          <w:bCs/>
          <w:color w:val="1A5FB4"/>
          <w:sz w:val="30"/>
          <w:szCs w:val="30"/>
        </w:rPr>
        <w:lastRenderedPageBreak/>
        <w:t>Prüffall 2 – Vorauswahl im Bewerbermanagement</w:t>
      </w:r>
      <w:bookmarkEnd w:id="8"/>
    </w:p>
    <w:tbl>
      <w:tblPr>
        <w:tblW w:w="9638"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2200"/>
        <w:gridCol w:w="7438"/>
      </w:tblGrid>
      <w:tr w:rsidR="006D4FF4" w14:paraId="5FB3D30B" w14:textId="77777777">
        <w:tblPrEx>
          <w:tblCellMar>
            <w:top w:w="0" w:type="dxa"/>
            <w:bottom w:w="0" w:type="dxa"/>
          </w:tblCellMar>
        </w:tblPrEx>
        <w:trPr>
          <w:tblHeader/>
        </w:trPr>
        <w:tc>
          <w:tcPr>
            <w:tcW w:w="2200" w:type="dxa"/>
            <w:shd w:val="clear" w:color="auto" w:fill="1A5FB4"/>
            <w:tcMar>
              <w:top w:w="60" w:type="dxa"/>
              <w:left w:w="100" w:type="dxa"/>
              <w:bottom w:w="60" w:type="dxa"/>
              <w:right w:w="100" w:type="dxa"/>
            </w:tcMar>
          </w:tcPr>
          <w:p w14:paraId="7B955324" w14:textId="77777777" w:rsidR="006D4FF4" w:rsidRDefault="00000000">
            <w:pPr>
              <w:spacing w:before="40" w:after="40" w:line="252" w:lineRule="auto"/>
            </w:pPr>
            <w:r>
              <w:rPr>
                <w:b/>
                <w:bCs/>
                <w:color w:val="FFFFFF"/>
                <w:sz w:val="19"/>
                <w:szCs w:val="19"/>
              </w:rPr>
              <w:t>Merkmal</w:t>
            </w:r>
          </w:p>
        </w:tc>
        <w:tc>
          <w:tcPr>
            <w:tcW w:w="7438" w:type="dxa"/>
            <w:shd w:val="clear" w:color="auto" w:fill="1A5FB4"/>
            <w:tcMar>
              <w:top w:w="60" w:type="dxa"/>
              <w:left w:w="100" w:type="dxa"/>
              <w:bottom w:w="60" w:type="dxa"/>
              <w:right w:w="100" w:type="dxa"/>
            </w:tcMar>
          </w:tcPr>
          <w:p w14:paraId="2AA38F0E" w14:textId="77777777" w:rsidR="006D4FF4" w:rsidRDefault="00000000">
            <w:pPr>
              <w:spacing w:before="40" w:after="40" w:line="252" w:lineRule="auto"/>
            </w:pPr>
            <w:r>
              <w:rPr>
                <w:b/>
                <w:bCs/>
                <w:color w:val="FFFFFF"/>
                <w:sz w:val="19"/>
                <w:szCs w:val="19"/>
              </w:rPr>
              <w:t>Angabe</w:t>
            </w:r>
          </w:p>
        </w:tc>
      </w:tr>
      <w:tr w:rsidR="006D4FF4" w14:paraId="1F89EE22" w14:textId="77777777">
        <w:tblPrEx>
          <w:tblCellMar>
            <w:top w:w="0" w:type="dxa"/>
            <w:bottom w:w="0" w:type="dxa"/>
          </w:tblCellMar>
        </w:tblPrEx>
        <w:tc>
          <w:tcPr>
            <w:tcW w:w="2200" w:type="dxa"/>
            <w:tcMar>
              <w:top w:w="60" w:type="dxa"/>
              <w:left w:w="100" w:type="dxa"/>
              <w:bottom w:w="60" w:type="dxa"/>
              <w:right w:w="100" w:type="dxa"/>
            </w:tcMar>
          </w:tcPr>
          <w:p w14:paraId="10B4275D" w14:textId="77777777" w:rsidR="006D4FF4" w:rsidRDefault="00000000">
            <w:pPr>
              <w:spacing w:before="40" w:after="40" w:line="252" w:lineRule="auto"/>
            </w:pPr>
            <w:r>
              <w:rPr>
                <w:sz w:val="19"/>
                <w:szCs w:val="19"/>
              </w:rPr>
              <w:t>Schwerpunkt</w:t>
            </w:r>
          </w:p>
        </w:tc>
        <w:tc>
          <w:tcPr>
            <w:tcW w:w="7438" w:type="dxa"/>
            <w:tcMar>
              <w:top w:w="60" w:type="dxa"/>
              <w:left w:w="100" w:type="dxa"/>
              <w:bottom w:w="60" w:type="dxa"/>
              <w:right w:w="100" w:type="dxa"/>
            </w:tcMar>
          </w:tcPr>
          <w:p w14:paraId="6A56D082" w14:textId="77777777" w:rsidR="006D4FF4" w:rsidRDefault="00000000">
            <w:pPr>
              <w:spacing w:before="40" w:after="40" w:line="252" w:lineRule="auto"/>
            </w:pPr>
            <w:r>
              <w:rPr>
                <w:sz w:val="19"/>
                <w:szCs w:val="19"/>
              </w:rPr>
              <w:t>Hochrisiko – Anhang III Nr. 4</w:t>
            </w:r>
          </w:p>
        </w:tc>
      </w:tr>
      <w:tr w:rsidR="006D4FF4" w14:paraId="56E8E577" w14:textId="77777777">
        <w:tblPrEx>
          <w:tblCellMar>
            <w:top w:w="0" w:type="dxa"/>
            <w:bottom w:w="0" w:type="dxa"/>
          </w:tblCellMar>
        </w:tblPrEx>
        <w:tc>
          <w:tcPr>
            <w:tcW w:w="2200" w:type="dxa"/>
            <w:shd w:val="clear" w:color="auto" w:fill="FAFAFA"/>
            <w:tcMar>
              <w:top w:w="60" w:type="dxa"/>
              <w:left w:w="100" w:type="dxa"/>
              <w:bottom w:w="60" w:type="dxa"/>
              <w:right w:w="100" w:type="dxa"/>
            </w:tcMar>
          </w:tcPr>
          <w:p w14:paraId="09815F34" w14:textId="77777777" w:rsidR="006D4FF4" w:rsidRDefault="00000000">
            <w:pPr>
              <w:spacing w:before="40" w:after="40" w:line="252" w:lineRule="auto"/>
            </w:pPr>
            <w:r>
              <w:rPr>
                <w:sz w:val="19"/>
                <w:szCs w:val="19"/>
              </w:rPr>
              <w:t>Lernziel</w:t>
            </w:r>
          </w:p>
        </w:tc>
        <w:tc>
          <w:tcPr>
            <w:tcW w:w="7438" w:type="dxa"/>
            <w:shd w:val="clear" w:color="auto" w:fill="FAFAFA"/>
            <w:tcMar>
              <w:top w:w="60" w:type="dxa"/>
              <w:left w:w="100" w:type="dxa"/>
              <w:bottom w:w="60" w:type="dxa"/>
              <w:right w:w="100" w:type="dxa"/>
            </w:tcMar>
          </w:tcPr>
          <w:p w14:paraId="432E00FE" w14:textId="77777777" w:rsidR="006D4FF4" w:rsidRDefault="00000000">
            <w:pPr>
              <w:spacing w:before="40" w:after="40" w:line="252" w:lineRule="auto"/>
            </w:pPr>
            <w:r>
              <w:rPr>
                <w:sz w:val="19"/>
                <w:szCs w:val="19"/>
              </w:rPr>
              <w:t>Sicheres Auffinden des Anhang-III-Tatbestands und vollständige Ableitung der Betreiberpflichten.</w:t>
            </w:r>
          </w:p>
        </w:tc>
      </w:tr>
      <w:tr w:rsidR="006D4FF4" w14:paraId="050C0999" w14:textId="77777777">
        <w:tblPrEx>
          <w:tblCellMar>
            <w:top w:w="0" w:type="dxa"/>
            <w:bottom w:w="0" w:type="dxa"/>
          </w:tblCellMar>
        </w:tblPrEx>
        <w:tc>
          <w:tcPr>
            <w:tcW w:w="2200" w:type="dxa"/>
            <w:tcMar>
              <w:top w:w="60" w:type="dxa"/>
              <w:left w:w="100" w:type="dxa"/>
              <w:bottom w:w="60" w:type="dxa"/>
              <w:right w:w="100" w:type="dxa"/>
            </w:tcMar>
          </w:tcPr>
          <w:p w14:paraId="3FB7F43A" w14:textId="77777777" w:rsidR="006D4FF4" w:rsidRDefault="00000000">
            <w:pPr>
              <w:spacing w:before="40" w:after="40" w:line="252" w:lineRule="auto"/>
            </w:pPr>
            <w:r>
              <w:rPr>
                <w:sz w:val="19"/>
                <w:szCs w:val="19"/>
              </w:rPr>
              <w:t>Ergebnis</w:t>
            </w:r>
          </w:p>
        </w:tc>
        <w:tc>
          <w:tcPr>
            <w:tcW w:w="7438" w:type="dxa"/>
            <w:tcMar>
              <w:top w:w="60" w:type="dxa"/>
              <w:left w:w="100" w:type="dxa"/>
              <w:bottom w:w="60" w:type="dxa"/>
              <w:right w:w="100" w:type="dxa"/>
            </w:tcMar>
          </w:tcPr>
          <w:p w14:paraId="0F21216D" w14:textId="77777777" w:rsidR="006D4FF4" w:rsidRDefault="00000000">
            <w:pPr>
              <w:spacing w:before="40" w:after="40" w:line="252" w:lineRule="auto"/>
            </w:pPr>
            <w:r>
              <w:rPr>
                <w:sz w:val="19"/>
                <w:szCs w:val="19"/>
              </w:rPr>
              <w:t xml:space="preserve">Hochrisiko nach Anhang III Nr. 4 </w:t>
            </w:r>
            <w:proofErr w:type="spellStart"/>
            <w:r>
              <w:rPr>
                <w:sz w:val="19"/>
                <w:szCs w:val="19"/>
              </w:rPr>
              <w:t>lit</w:t>
            </w:r>
            <w:proofErr w:type="spellEnd"/>
            <w:r>
              <w:rPr>
                <w:sz w:val="19"/>
                <w:szCs w:val="19"/>
              </w:rPr>
              <w:t>. a KI-VO; volle Betreiberpflichten einschließlich Grundrechte-Folgenabschätzung und Registrierung.</w:t>
            </w:r>
          </w:p>
        </w:tc>
      </w:tr>
    </w:tbl>
    <w:p w14:paraId="39D8F27F" w14:textId="77777777" w:rsidR="006D4FF4" w:rsidRDefault="006D4FF4">
      <w:pPr>
        <w:spacing w:after="140"/>
      </w:pPr>
    </w:p>
    <w:p w14:paraId="2263CEE0" w14:textId="77777777" w:rsidR="006D4FF4" w:rsidRDefault="00000000">
      <w:pPr>
        <w:pStyle w:val="berschrift2"/>
        <w:keepNext/>
        <w:spacing w:before="280" w:after="140"/>
      </w:pPr>
      <w:bookmarkStart w:id="9" w:name="_Toc240324996"/>
      <w:r>
        <w:rPr>
          <w:b/>
          <w:bCs/>
          <w:color w:val="1A5FB4"/>
          <w:sz w:val="25"/>
          <w:szCs w:val="25"/>
        </w:rPr>
        <w:t>Musterlösung</w:t>
      </w:r>
      <w:bookmarkEnd w:id="9"/>
    </w:p>
    <w:p w14:paraId="6A041E4C" w14:textId="77777777" w:rsidR="006D4FF4" w:rsidRDefault="00000000">
      <w:pPr>
        <w:keepNext/>
        <w:spacing w:before="200" w:after="80"/>
      </w:pPr>
      <w:r>
        <w:rPr>
          <w:b/>
          <w:bCs/>
          <w:color w:val="1A5FB4"/>
        </w:rPr>
        <w:t xml:space="preserve">Frage 1:  </w:t>
      </w:r>
      <w:r>
        <w:rPr>
          <w:b/>
          <w:bCs/>
        </w:rPr>
        <w:t>Liegt ein KI-System im Sinne des Art. 3 Nr. 1 KI-VO vor? Begründen Sie anhand der einzelnen Begriffsmerkmale.</w:t>
      </w:r>
    </w:p>
    <w:p w14:paraId="3B0B28EB" w14:textId="77777777" w:rsidR="006D4FF4" w:rsidRDefault="00000000">
      <w:pPr>
        <w:spacing w:after="100"/>
      </w:pPr>
      <w:r>
        <w:t>Ja. Alle Merkmale des Art. 3 Nr. 1 KI-VO sind erfüllt; Kern ist die Ableitungsfähigkeit: Aus Bewerbungstexten wird ein Eignungswert abgeleitet. Die Ausgabe (Rangliste, Schwellenwert) beeinflusst unmittelbar das Verfahren.</w:t>
      </w:r>
    </w:p>
    <w:p w14:paraId="362D9B02" w14:textId="77777777" w:rsidR="006D4FF4" w:rsidRDefault="00000000">
      <w:pPr>
        <w:keepNext/>
        <w:spacing w:before="200" w:after="80"/>
      </w:pPr>
      <w:r>
        <w:rPr>
          <w:b/>
          <w:bCs/>
          <w:color w:val="1A5FB4"/>
        </w:rPr>
        <w:t xml:space="preserve">Frage 2:  </w:t>
      </w:r>
      <w:r>
        <w:rPr>
          <w:b/>
          <w:bCs/>
        </w:rPr>
        <w:t>Ist der Anwendungsbereich der KI-VO eröffnet oder greift eine Bereichsausnahme (Art. 2, Art. 111 Abs. 2 KI-VO)?</w:t>
      </w:r>
    </w:p>
    <w:p w14:paraId="0EA07B30" w14:textId="77777777" w:rsidR="006D4FF4" w:rsidRDefault="00000000">
      <w:pPr>
        <w:spacing w:after="100"/>
      </w:pPr>
      <w:r>
        <w:t>Ja, eröffnet. Keine Bereichsausnahme. Der geplante Produktivstart liegt nach dem 2. August 2026, sodass auch Art. 111 Abs. 2 KI-VO nicht hilft.</w:t>
      </w:r>
    </w:p>
    <w:p w14:paraId="3DA2A3A6" w14:textId="77777777" w:rsidR="006D4FF4" w:rsidRDefault="00000000">
      <w:pPr>
        <w:keepNext/>
        <w:spacing w:before="200" w:after="80"/>
      </w:pPr>
      <w:r>
        <w:rPr>
          <w:b/>
          <w:bCs/>
          <w:color w:val="1A5FB4"/>
        </w:rPr>
        <w:t xml:space="preserve">Frage 3:  </w:t>
      </w:r>
      <w:r>
        <w:rPr>
          <w:b/>
          <w:bCs/>
        </w:rPr>
        <w:t>In welcher Rolle handelt die Behörde (Art. 3 Nr. 3, Nr. 4 KI-VO)? Kommt ein Rollenwechsel zum Anbieter nach Art. 25 KI-VO in Betracht?</w:t>
      </w:r>
    </w:p>
    <w:p w14:paraId="236CEE86" w14:textId="77777777" w:rsidR="006D4FF4" w:rsidRDefault="00000000">
      <w:pPr>
        <w:spacing w:after="100"/>
      </w:pPr>
      <w:r>
        <w:t xml:space="preserve">Der Landkreis ist Betreiber (Art. 3 Nr. 4 KI-VO). Ein Rollenwechsel nach Art. 25 KI-VO liegt nicht vor, solange das System unverändert und unter dem Namen des Herstellers genutzt wird. Würde der Landkreis das Modell mit eigenen Altbewerbungen nachtrainieren, läge eine wesentliche Änderung nach Art. 25 Abs. 1 </w:t>
      </w:r>
      <w:proofErr w:type="spellStart"/>
      <w:r>
        <w:t>lit</w:t>
      </w:r>
      <w:proofErr w:type="spellEnd"/>
      <w:r>
        <w:t>. b KI-VO vor – mit voller Anbieterverantwortung.</w:t>
      </w:r>
    </w:p>
    <w:p w14:paraId="25074EA4" w14:textId="77777777" w:rsidR="006D4FF4" w:rsidRDefault="00000000">
      <w:pPr>
        <w:keepNext/>
        <w:spacing w:before="200" w:after="80"/>
      </w:pPr>
      <w:r>
        <w:rPr>
          <w:b/>
          <w:bCs/>
          <w:color w:val="1A5FB4"/>
        </w:rPr>
        <w:t xml:space="preserve">Frage 4:  </w:t>
      </w:r>
      <w:r>
        <w:rPr>
          <w:b/>
          <w:bCs/>
        </w:rPr>
        <w:t>Wie lautet die Zweckbestimmung (Art. 3 Nr. 12 KI-VO), und weicht die tatsächlich beabsichtigte Verwendung davon ab?</w:t>
      </w:r>
    </w:p>
    <w:p w14:paraId="2460B9C1" w14:textId="77777777" w:rsidR="006D4FF4" w:rsidRDefault="00000000">
      <w:pPr>
        <w:spacing w:after="100"/>
      </w:pPr>
      <w:r>
        <w:t>Zweckbestimmung: Sichtung, Filterung und Bewertung von Bewerbungen. Die beabsichtigte Verwendung entspricht ihr. Zu dokumentieren ist die tatsächliche Entscheidungstiefe: Der Schwellenwert wirkt faktisch als Vorauswahl, weil der Ordner "nachrangig" nicht geöffnet wird.</w:t>
      </w:r>
    </w:p>
    <w:p w14:paraId="2DC2E23A" w14:textId="77777777" w:rsidR="006D4FF4" w:rsidRDefault="00000000">
      <w:pPr>
        <w:keepNext/>
        <w:spacing w:before="200" w:after="80"/>
      </w:pPr>
      <w:r>
        <w:rPr>
          <w:b/>
          <w:bCs/>
          <w:color w:val="1A5FB4"/>
        </w:rPr>
        <w:t xml:space="preserve">Frage 5:  </w:t>
      </w:r>
      <w:r>
        <w:rPr>
          <w:b/>
          <w:bCs/>
        </w:rPr>
        <w:t>Liegt eine verbotene Praktik nach Art. 5 KI-VO vor? Welcher Buchstabe kommt in Betracht, und welche Abgrenzung ist zu treffen?</w:t>
      </w:r>
    </w:p>
    <w:p w14:paraId="286D9EFE" w14:textId="77777777" w:rsidR="006D4FF4" w:rsidRDefault="00000000">
      <w:pPr>
        <w:spacing w:after="100"/>
      </w:pPr>
      <w:r>
        <w:t xml:space="preserve">Nein. Insbesondere </w:t>
      </w:r>
      <w:proofErr w:type="gramStart"/>
      <w:r>
        <w:t>liegt</w:t>
      </w:r>
      <w:proofErr w:type="gramEnd"/>
      <w:r>
        <w:t xml:space="preserve"> keine Emotionserkennung und keine biometrische Kategorisierung vor. Die Auswertung von Formulierungsstil und Lebenslauflücken ist jedoch ein Profiling und in der Grundrechte-Folgenabschätzung sowie unter Diskriminierungsgesichtspunkten kritisch zu würdigen.</w:t>
      </w:r>
    </w:p>
    <w:p w14:paraId="10793A89" w14:textId="77777777" w:rsidR="006D4FF4" w:rsidRDefault="00000000">
      <w:pPr>
        <w:keepNext/>
        <w:spacing w:before="200" w:after="80"/>
      </w:pPr>
      <w:r>
        <w:rPr>
          <w:b/>
          <w:bCs/>
          <w:color w:val="1A5FB4"/>
        </w:rPr>
        <w:t xml:space="preserve">Frage 6:  </w:t>
      </w:r>
      <w:r>
        <w:rPr>
          <w:b/>
          <w:bCs/>
        </w:rPr>
        <w:t>Liegt ein Hochrisiko-Fall nach Art. 6 Abs. 1 i. V. m. Anhang I oder nach Art. 6 Abs. 2 i. V. m. Anhang III vor? Benennen Sie den konkreten Tatbestand.</w:t>
      </w:r>
    </w:p>
    <w:p w14:paraId="15C75F75" w14:textId="77777777" w:rsidR="006D4FF4" w:rsidRDefault="00000000">
      <w:pPr>
        <w:spacing w:after="100"/>
      </w:pPr>
      <w:r>
        <w:t xml:space="preserve">Ja: Anhang III Nr. 4 </w:t>
      </w:r>
      <w:proofErr w:type="spellStart"/>
      <w:r>
        <w:t>lit</w:t>
      </w:r>
      <w:proofErr w:type="spellEnd"/>
      <w:r>
        <w:t>. a KI-VO – Einstellung und Auswahl natürlicher Personen, insbesondere Sichtung und Filterung von Bewerbungen sowie Bewertung von Bewerbern. Anhang I ist nicht einschlägig.</w:t>
      </w:r>
    </w:p>
    <w:p w14:paraId="1CA5BC23" w14:textId="77777777" w:rsidR="006D4FF4" w:rsidRDefault="00000000">
      <w:pPr>
        <w:keepNext/>
        <w:spacing w:before="200" w:after="80"/>
      </w:pPr>
      <w:r>
        <w:rPr>
          <w:b/>
          <w:bCs/>
          <w:color w:val="1A5FB4"/>
        </w:rPr>
        <w:lastRenderedPageBreak/>
        <w:t xml:space="preserve">Frage 7:  </w:t>
      </w:r>
      <w:r>
        <w:rPr>
          <w:b/>
          <w:bCs/>
        </w:rPr>
        <w:t>Greift die Ausnahme des Art. 6 Abs. 3 KI-VO? Welche Folgepflichten bestehen auch dann (Art. 6 Abs. 4, Art. 49 Abs. 2 KI-VO)?</w:t>
      </w:r>
    </w:p>
    <w:p w14:paraId="1D2F39C6" w14:textId="77777777" w:rsidR="006D4FF4" w:rsidRDefault="00000000">
      <w:pPr>
        <w:spacing w:after="100"/>
      </w:pPr>
      <w:r>
        <w:t xml:space="preserve">Nein. Der Ausnahmetatbestand ist ausgeschlossen, weil das System ein Profiling natürlicher Personen vornimmt (Art. 6 Abs. 3 </w:t>
      </w:r>
      <w:proofErr w:type="spellStart"/>
      <w:r>
        <w:t>UAbs</w:t>
      </w:r>
      <w:proofErr w:type="spellEnd"/>
      <w:r>
        <w:t>. 2 KI-VO). Unabhängig davon wäre die Ausnahme auch deshalb fraglich, weil das Ergebnis die menschliche Bewertung faktisch ersetzt und nicht nur vorbereitet.</w:t>
      </w:r>
    </w:p>
    <w:p w14:paraId="37C8171B" w14:textId="77777777" w:rsidR="006D4FF4" w:rsidRDefault="00000000">
      <w:pPr>
        <w:keepNext/>
        <w:spacing w:before="200" w:after="80"/>
      </w:pPr>
      <w:r>
        <w:rPr>
          <w:b/>
          <w:bCs/>
          <w:color w:val="1A5FB4"/>
        </w:rPr>
        <w:t xml:space="preserve">Frage 8:  </w:t>
      </w:r>
      <w:r>
        <w:rPr>
          <w:b/>
          <w:bCs/>
        </w:rPr>
        <w:t>Welche Risikoklasse ergibt sich als Ergebnis, und ab welchem Zeitpunkt gelten die Pflichten?</w:t>
      </w:r>
    </w:p>
    <w:p w14:paraId="122B26CD" w14:textId="77777777" w:rsidR="006D4FF4" w:rsidRDefault="00000000">
      <w:pPr>
        <w:spacing w:after="100"/>
      </w:pPr>
      <w:r>
        <w:t xml:space="preserve">Hochrisiko-KI-System nach Art. 6 Abs. 2 i. V. m. Anhang III Nr. 4 </w:t>
      </w:r>
      <w:proofErr w:type="spellStart"/>
      <w:r>
        <w:t>lit</w:t>
      </w:r>
      <w:proofErr w:type="spellEnd"/>
      <w:r>
        <w:t>. a KI-VO. Die Pflichten gelten nach der Änderungsverordnung (EU) 2026/1744 ab dem 2. Dezember 2027. Da der Produktivstart im Januar 2027 geplant ist, sollten die Anforderungen gleichwohl von Beginn an vertraglich und organisatorisch abgebildet werden.</w:t>
      </w:r>
    </w:p>
    <w:p w14:paraId="1C7C3E99" w14:textId="77777777" w:rsidR="006D4FF4" w:rsidRDefault="00000000">
      <w:pPr>
        <w:keepNext/>
        <w:spacing w:before="200" w:after="80"/>
      </w:pPr>
      <w:r>
        <w:rPr>
          <w:b/>
          <w:bCs/>
          <w:color w:val="1A5FB4"/>
        </w:rPr>
        <w:t xml:space="preserve">Frage 9:  </w:t>
      </w:r>
      <w:r>
        <w:rPr>
          <w:b/>
          <w:bCs/>
        </w:rPr>
        <w:t>Welche konkreten Maßnahmen und Pflichten treffen die Behörde (insbesondere Art. 26, 27, 49, 86 KI-VO bzw. Anbieterpflichten)? Wer ist in Ihrem Haus jeweils zuständig?</w:t>
      </w:r>
    </w:p>
    <w:p w14:paraId="657A28EE" w14:textId="77777777" w:rsidR="006D4FF4" w:rsidRPr="005F785E" w:rsidRDefault="00000000">
      <w:pPr>
        <w:spacing w:after="100"/>
        <w:rPr>
          <w:color w:val="000000" w:themeColor="text1"/>
        </w:rPr>
      </w:pPr>
      <w:r w:rsidRPr="005F785E">
        <w:rPr>
          <w:color w:val="000000" w:themeColor="text1"/>
        </w:rPr>
        <w:t>Art. 26 Abs. 1 (Nutzung nach Betriebsanleitung, Dienstanweisung); Abs. 2 (benannte, geschulte Aufsichtsperson mit Befugnis und Zeit zur wirksamen Prüfung – der Ordner "nachrangig" ist in das Kontrollkonzept einzubeziehen); Abs. 4 (repräsentative Eingabedaten); Abs. 5 (Überwachung, Meldeweg); Abs. 6 (Protokolle mindestens sechs Monate); Abs. 7 (Information von Personalrat und Beschäftigten); Art. 49 Abs. 3 (Registrierung durch den Landkreis als Behörde in der EU-Datenbank; Art. 26 Abs. 8 betrifft nur Organe und Stellen der Union); Abs. 9 (Datenschutz-Folgenabschätzung); Abs. 11 (Information der Bewerberinnen und Bewerber); Art. 27 (Grundrechte-Folgenabschätzung, da Einrichtung des öffentlichen Rechts und Anhang III außerhalb Nr. 2); Art. 86 (Erläuterung der Einzelfallentscheidung auf Verlangen). Zuständigkeiten: Personalamt fachlich, IT technisch, Datenschutz und Personalrat begleitend.</w:t>
      </w:r>
    </w:p>
    <w:p w14:paraId="1A8118E4" w14:textId="77777777" w:rsidR="006D4FF4" w:rsidRDefault="00000000">
      <w:pPr>
        <w:keepNext/>
        <w:spacing w:before="200" w:after="80"/>
      </w:pPr>
      <w:r>
        <w:rPr>
          <w:b/>
          <w:bCs/>
          <w:color w:val="1A5FB4"/>
        </w:rPr>
        <w:t xml:space="preserve">Frage 10:  </w:t>
      </w:r>
      <w:r>
        <w:rPr>
          <w:b/>
          <w:bCs/>
        </w:rPr>
        <w:t>Welche Transparenzpflichten nach Art. 50 KI-VO und welche flankierenden Prüfungen (Datenschutz, Personalvertretung, Verwaltungsverfahren, IT-Sicherheit, Vergabe, Geheimnisschutz) sind zu veranlassen?</w:t>
      </w:r>
    </w:p>
    <w:p w14:paraId="65A4A1EA" w14:textId="77777777" w:rsidR="006D4FF4" w:rsidRDefault="00000000">
      <w:pPr>
        <w:spacing w:after="100"/>
      </w:pPr>
      <w:r>
        <w:t>Art. 50 KI-VO ist nicht einschlägig (keine unmittelbare Interaktion, keine synthetischen Inhalte) – die Information der Bewerber folgt aus Art. 26 Abs. 11 KI-VO. Flankierend: Rechtsgrundlage der Verarbeitung von Bewerberdaten, Art. 22 DSGVO (automatisierte Einzelentscheidung – hier durch die faktische Vorauswahl berührt), Datenschutz-Folgenabschätzung, Mitbestimmung des Personalrats, Allgemeines Gleichbehandlungsgesetz, vergaberechtliche Absicherung der Anbieterpflichten.</w:t>
      </w:r>
    </w:p>
    <w:p w14:paraId="77E48BF6" w14:textId="77777777" w:rsidR="006D4FF4" w:rsidRDefault="00000000">
      <w:pPr>
        <w:pStyle w:val="berschrift2"/>
        <w:keepNext/>
        <w:spacing w:before="280" w:after="140"/>
      </w:pPr>
      <w:bookmarkStart w:id="10" w:name="_Toc240324997"/>
      <w:r>
        <w:rPr>
          <w:b/>
          <w:bCs/>
          <w:color w:val="1A5FB4"/>
          <w:sz w:val="25"/>
          <w:szCs w:val="25"/>
        </w:rPr>
        <w:t>Stolpersteine und Diskussionsimpulse</w:t>
      </w:r>
      <w:bookmarkEnd w:id="10"/>
    </w:p>
    <w:p w14:paraId="15DA432C" w14:textId="77777777" w:rsidR="006D4FF4" w:rsidRDefault="00000000">
      <w:pPr>
        <w:pStyle w:val="Listenabsatz"/>
        <w:numPr>
          <w:ilvl w:val="0"/>
          <w:numId w:val="2"/>
        </w:numPr>
        <w:spacing w:after="60"/>
      </w:pPr>
      <w:r>
        <w:t>Der Satz "es entscheidet ja ein Mensch" trägt nicht, wenn der Ordner "nachrangig" nie geöffnet wird. Automation Bias als Diskussionspunkt setzen.</w:t>
      </w:r>
    </w:p>
    <w:p w14:paraId="714FAA8D" w14:textId="77777777" w:rsidR="006D4FF4" w:rsidRDefault="00000000">
      <w:pPr>
        <w:pStyle w:val="Listenabsatz"/>
        <w:numPr>
          <w:ilvl w:val="0"/>
          <w:numId w:val="2"/>
        </w:numPr>
        <w:spacing w:after="60"/>
      </w:pPr>
      <w:r>
        <w:t>Art. 6 Abs. 3 KI-VO wird gern bemüht – der Profiling-Ausschluss beendet die Diskussion.</w:t>
      </w:r>
    </w:p>
    <w:p w14:paraId="184ECC93" w14:textId="77777777" w:rsidR="006D4FF4" w:rsidRDefault="00000000">
      <w:pPr>
        <w:pStyle w:val="Listenabsatz"/>
        <w:numPr>
          <w:ilvl w:val="0"/>
          <w:numId w:val="2"/>
        </w:numPr>
        <w:spacing w:after="60"/>
      </w:pPr>
      <w:r>
        <w:t>Die verschobene Frist (2. Dezember 2027) verleitet zum Abwarten. Gegenargument: Beschaffung und Vertragsgestaltung erfolgen jetzt.</w:t>
      </w:r>
    </w:p>
    <w:p w14:paraId="220AE5B7" w14:textId="77777777" w:rsidR="006D4FF4" w:rsidRDefault="00000000">
      <w:pPr>
        <w:pBdr>
          <w:top w:val="single" w:sz="6" w:space="0" w:color="1A5FB4"/>
          <w:left w:val="single" w:sz="18" w:space="0" w:color="1A5FB4"/>
          <w:bottom w:val="single" w:sz="6" w:space="0" w:color="1A5FB4"/>
          <w:right w:val="single" w:sz="6" w:space="0" w:color="1A5FB4"/>
        </w:pBdr>
        <w:shd w:val="clear" w:color="auto" w:fill="EAF1FB"/>
        <w:spacing w:before="160"/>
      </w:pPr>
      <w:r>
        <w:rPr>
          <w:b/>
          <w:bCs/>
          <w:color w:val="0B3B7A"/>
        </w:rPr>
        <w:t>Ergebnis in einem Satz</w:t>
      </w:r>
    </w:p>
    <w:p w14:paraId="171B6DCE" w14:textId="77777777" w:rsidR="006D4FF4" w:rsidRDefault="00000000">
      <w:pPr>
        <w:pBdr>
          <w:left w:val="single" w:sz="18" w:space="0" w:color="1A5FB4"/>
          <w:bottom w:val="single" w:sz="6" w:space="0" w:color="1A5FB4"/>
          <w:right w:val="single" w:sz="6" w:space="0" w:color="1A5FB4"/>
        </w:pBdr>
        <w:shd w:val="clear" w:color="auto" w:fill="EAF1FB"/>
        <w:spacing w:after="160"/>
      </w:pPr>
      <w:r>
        <w:rPr>
          <w:color w:val="0B3B7A"/>
          <w:sz w:val="20"/>
          <w:szCs w:val="20"/>
        </w:rPr>
        <w:t xml:space="preserve">Hochrisiko nach Anhang III Nr. 4 </w:t>
      </w:r>
      <w:proofErr w:type="spellStart"/>
      <w:r>
        <w:rPr>
          <w:color w:val="0B3B7A"/>
          <w:sz w:val="20"/>
          <w:szCs w:val="20"/>
        </w:rPr>
        <w:t>lit</w:t>
      </w:r>
      <w:proofErr w:type="spellEnd"/>
      <w:r>
        <w:rPr>
          <w:color w:val="0B3B7A"/>
          <w:sz w:val="20"/>
          <w:szCs w:val="20"/>
        </w:rPr>
        <w:t>. a KI-VO; volle Betreiberpflichten einschließlich Grundrechte-Folgenabschätzung und Registrierung.</w:t>
      </w:r>
    </w:p>
    <w:p w14:paraId="125046E3" w14:textId="77777777" w:rsidR="006D4FF4" w:rsidRDefault="00000000">
      <w:r>
        <w:br w:type="page"/>
      </w:r>
    </w:p>
    <w:p w14:paraId="2CBC3E25" w14:textId="77777777" w:rsidR="006D4FF4" w:rsidRDefault="00000000">
      <w:pPr>
        <w:pStyle w:val="berschrift1"/>
        <w:keepNext/>
        <w:spacing w:before="360" w:after="180"/>
      </w:pPr>
      <w:bookmarkStart w:id="11" w:name="_Toc240324998"/>
      <w:r>
        <w:rPr>
          <w:b/>
          <w:bCs/>
          <w:color w:val="1A5FB4"/>
          <w:sz w:val="30"/>
          <w:szCs w:val="30"/>
        </w:rPr>
        <w:lastRenderedPageBreak/>
        <w:t>Prüffall 3 – Betriebsoptimierung im Wasserwerk</w:t>
      </w:r>
      <w:bookmarkEnd w:id="11"/>
    </w:p>
    <w:tbl>
      <w:tblPr>
        <w:tblW w:w="9638"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2200"/>
        <w:gridCol w:w="7438"/>
      </w:tblGrid>
      <w:tr w:rsidR="006D4FF4" w14:paraId="6E6A72CC" w14:textId="77777777">
        <w:tblPrEx>
          <w:tblCellMar>
            <w:top w:w="0" w:type="dxa"/>
            <w:bottom w:w="0" w:type="dxa"/>
          </w:tblCellMar>
        </w:tblPrEx>
        <w:trPr>
          <w:tblHeader/>
        </w:trPr>
        <w:tc>
          <w:tcPr>
            <w:tcW w:w="2200" w:type="dxa"/>
            <w:shd w:val="clear" w:color="auto" w:fill="1A5FB4"/>
            <w:tcMar>
              <w:top w:w="60" w:type="dxa"/>
              <w:left w:w="100" w:type="dxa"/>
              <w:bottom w:w="60" w:type="dxa"/>
              <w:right w:w="100" w:type="dxa"/>
            </w:tcMar>
          </w:tcPr>
          <w:p w14:paraId="4CA8D673" w14:textId="77777777" w:rsidR="006D4FF4" w:rsidRDefault="00000000">
            <w:pPr>
              <w:spacing w:before="40" w:after="40" w:line="252" w:lineRule="auto"/>
            </w:pPr>
            <w:r>
              <w:rPr>
                <w:b/>
                <w:bCs/>
                <w:color w:val="FFFFFF"/>
                <w:sz w:val="19"/>
                <w:szCs w:val="19"/>
              </w:rPr>
              <w:t>Merkmal</w:t>
            </w:r>
          </w:p>
        </w:tc>
        <w:tc>
          <w:tcPr>
            <w:tcW w:w="7438" w:type="dxa"/>
            <w:shd w:val="clear" w:color="auto" w:fill="1A5FB4"/>
            <w:tcMar>
              <w:top w:w="60" w:type="dxa"/>
              <w:left w:w="100" w:type="dxa"/>
              <w:bottom w:w="60" w:type="dxa"/>
              <w:right w:w="100" w:type="dxa"/>
            </w:tcMar>
          </w:tcPr>
          <w:p w14:paraId="0437DEC9" w14:textId="77777777" w:rsidR="006D4FF4" w:rsidRDefault="00000000">
            <w:pPr>
              <w:spacing w:before="40" w:after="40" w:line="252" w:lineRule="auto"/>
            </w:pPr>
            <w:r>
              <w:rPr>
                <w:b/>
                <w:bCs/>
                <w:color w:val="FFFFFF"/>
                <w:sz w:val="19"/>
                <w:szCs w:val="19"/>
              </w:rPr>
              <w:t>Angabe</w:t>
            </w:r>
          </w:p>
        </w:tc>
      </w:tr>
      <w:tr w:rsidR="006D4FF4" w14:paraId="7669FEAB" w14:textId="77777777">
        <w:tblPrEx>
          <w:tblCellMar>
            <w:top w:w="0" w:type="dxa"/>
            <w:bottom w:w="0" w:type="dxa"/>
          </w:tblCellMar>
        </w:tblPrEx>
        <w:tc>
          <w:tcPr>
            <w:tcW w:w="2200" w:type="dxa"/>
            <w:tcMar>
              <w:top w:w="60" w:type="dxa"/>
              <w:left w:w="100" w:type="dxa"/>
              <w:bottom w:w="60" w:type="dxa"/>
              <w:right w:w="100" w:type="dxa"/>
            </w:tcMar>
          </w:tcPr>
          <w:p w14:paraId="04C2FBA4" w14:textId="77777777" w:rsidR="006D4FF4" w:rsidRDefault="00000000">
            <w:pPr>
              <w:spacing w:before="40" w:after="40" w:line="252" w:lineRule="auto"/>
            </w:pPr>
            <w:r>
              <w:rPr>
                <w:sz w:val="19"/>
                <w:szCs w:val="19"/>
              </w:rPr>
              <w:t>Schwerpunkt</w:t>
            </w:r>
          </w:p>
        </w:tc>
        <w:tc>
          <w:tcPr>
            <w:tcW w:w="7438" w:type="dxa"/>
            <w:tcMar>
              <w:top w:w="60" w:type="dxa"/>
              <w:left w:w="100" w:type="dxa"/>
              <w:bottom w:w="60" w:type="dxa"/>
              <w:right w:w="100" w:type="dxa"/>
            </w:tcMar>
          </w:tcPr>
          <w:p w14:paraId="473C7BE6" w14:textId="77777777" w:rsidR="006D4FF4" w:rsidRDefault="00000000">
            <w:pPr>
              <w:spacing w:before="40" w:after="40" w:line="252" w:lineRule="auto"/>
            </w:pPr>
            <w:r>
              <w:rPr>
                <w:sz w:val="19"/>
                <w:szCs w:val="19"/>
              </w:rPr>
              <w:t>Hochrisiko – Anhang III Nr. 2</w:t>
            </w:r>
          </w:p>
        </w:tc>
      </w:tr>
      <w:tr w:rsidR="006D4FF4" w14:paraId="39F4D0C8" w14:textId="77777777">
        <w:tblPrEx>
          <w:tblCellMar>
            <w:top w:w="0" w:type="dxa"/>
            <w:bottom w:w="0" w:type="dxa"/>
          </w:tblCellMar>
        </w:tblPrEx>
        <w:tc>
          <w:tcPr>
            <w:tcW w:w="2200" w:type="dxa"/>
            <w:shd w:val="clear" w:color="auto" w:fill="FAFAFA"/>
            <w:tcMar>
              <w:top w:w="60" w:type="dxa"/>
              <w:left w:w="100" w:type="dxa"/>
              <w:bottom w:w="60" w:type="dxa"/>
              <w:right w:w="100" w:type="dxa"/>
            </w:tcMar>
          </w:tcPr>
          <w:p w14:paraId="5B5BD756" w14:textId="77777777" w:rsidR="006D4FF4" w:rsidRDefault="00000000">
            <w:pPr>
              <w:spacing w:before="40" w:after="40" w:line="252" w:lineRule="auto"/>
            </w:pPr>
            <w:r>
              <w:rPr>
                <w:sz w:val="19"/>
                <w:szCs w:val="19"/>
              </w:rPr>
              <w:t>Lernziel</w:t>
            </w:r>
          </w:p>
        </w:tc>
        <w:tc>
          <w:tcPr>
            <w:tcW w:w="7438" w:type="dxa"/>
            <w:shd w:val="clear" w:color="auto" w:fill="FAFAFA"/>
            <w:tcMar>
              <w:top w:w="60" w:type="dxa"/>
              <w:left w:w="100" w:type="dxa"/>
              <w:bottom w:w="60" w:type="dxa"/>
              <w:right w:w="100" w:type="dxa"/>
            </w:tcMar>
          </w:tcPr>
          <w:p w14:paraId="6D60E9C3" w14:textId="77777777" w:rsidR="006D4FF4" w:rsidRDefault="00000000">
            <w:pPr>
              <w:spacing w:before="40" w:after="40" w:line="252" w:lineRule="auto"/>
            </w:pPr>
            <w:r>
              <w:rPr>
                <w:sz w:val="19"/>
                <w:szCs w:val="19"/>
              </w:rPr>
              <w:t>Unterscheidung der Anhang-III-Kategorien und die Sonderrolle der kritischen Infrastruktur bei Art. 27 KI-VO.</w:t>
            </w:r>
          </w:p>
        </w:tc>
      </w:tr>
      <w:tr w:rsidR="006D4FF4" w14:paraId="04BBB5EE" w14:textId="77777777">
        <w:tblPrEx>
          <w:tblCellMar>
            <w:top w:w="0" w:type="dxa"/>
            <w:bottom w:w="0" w:type="dxa"/>
          </w:tblCellMar>
        </w:tblPrEx>
        <w:tc>
          <w:tcPr>
            <w:tcW w:w="2200" w:type="dxa"/>
            <w:tcMar>
              <w:top w:w="60" w:type="dxa"/>
              <w:left w:w="100" w:type="dxa"/>
              <w:bottom w:w="60" w:type="dxa"/>
              <w:right w:w="100" w:type="dxa"/>
            </w:tcMar>
          </w:tcPr>
          <w:p w14:paraId="7FFA548E" w14:textId="77777777" w:rsidR="006D4FF4" w:rsidRDefault="00000000">
            <w:pPr>
              <w:spacing w:before="40" w:after="40" w:line="252" w:lineRule="auto"/>
            </w:pPr>
            <w:r>
              <w:rPr>
                <w:sz w:val="19"/>
                <w:szCs w:val="19"/>
              </w:rPr>
              <w:t>Ergebnis</w:t>
            </w:r>
          </w:p>
        </w:tc>
        <w:tc>
          <w:tcPr>
            <w:tcW w:w="7438" w:type="dxa"/>
            <w:tcMar>
              <w:top w:w="60" w:type="dxa"/>
              <w:left w:w="100" w:type="dxa"/>
              <w:bottom w:w="60" w:type="dxa"/>
              <w:right w:w="100" w:type="dxa"/>
            </w:tcMar>
          </w:tcPr>
          <w:p w14:paraId="418ACBDD" w14:textId="77777777" w:rsidR="006D4FF4" w:rsidRDefault="00000000">
            <w:pPr>
              <w:spacing w:before="40" w:after="40" w:line="252" w:lineRule="auto"/>
            </w:pPr>
            <w:r>
              <w:rPr>
                <w:sz w:val="19"/>
                <w:szCs w:val="19"/>
              </w:rPr>
              <w:t>Hochrisiko nach Anhang III Nr. 2 KI-VO; Art. 26 und Art. 49 ja, Art. 27 nein.</w:t>
            </w:r>
          </w:p>
        </w:tc>
      </w:tr>
    </w:tbl>
    <w:p w14:paraId="303F1A5E" w14:textId="77777777" w:rsidR="006D4FF4" w:rsidRDefault="006D4FF4">
      <w:pPr>
        <w:spacing w:after="140"/>
      </w:pPr>
    </w:p>
    <w:p w14:paraId="4EED92C9" w14:textId="77777777" w:rsidR="006D4FF4" w:rsidRDefault="00000000">
      <w:pPr>
        <w:pStyle w:val="berschrift2"/>
        <w:keepNext/>
        <w:spacing w:before="280" w:after="140"/>
      </w:pPr>
      <w:bookmarkStart w:id="12" w:name="_Toc240324999"/>
      <w:r>
        <w:rPr>
          <w:b/>
          <w:bCs/>
          <w:color w:val="1A5FB4"/>
          <w:sz w:val="25"/>
          <w:szCs w:val="25"/>
        </w:rPr>
        <w:t>Musterlösung</w:t>
      </w:r>
      <w:bookmarkEnd w:id="12"/>
    </w:p>
    <w:p w14:paraId="0B24F7B3" w14:textId="77777777" w:rsidR="006D4FF4" w:rsidRDefault="00000000">
      <w:pPr>
        <w:keepNext/>
        <w:spacing w:before="200" w:after="80"/>
      </w:pPr>
      <w:r>
        <w:rPr>
          <w:b/>
          <w:bCs/>
          <w:color w:val="1A5FB4"/>
        </w:rPr>
        <w:t xml:space="preserve">Frage 1:  </w:t>
      </w:r>
      <w:r>
        <w:rPr>
          <w:b/>
          <w:bCs/>
        </w:rPr>
        <w:t>Liegt ein KI-System im Sinne des Art. 3 Nr. 1 KI-VO vor? Begründen Sie anhand der einzelnen Begriffsmerkmale.</w:t>
      </w:r>
    </w:p>
    <w:p w14:paraId="243F36DE" w14:textId="77777777" w:rsidR="006D4FF4" w:rsidRDefault="00000000">
      <w:pPr>
        <w:spacing w:after="100"/>
      </w:pPr>
      <w:r>
        <w:t>Ja. Prognose und Regelung erfolgen autonom, das System leitet aus Sensordaten ab, wie zu steuern ist, und die Ausgaben beeinflussen unmittelbar die physische Umgebung. Abzugrenzen wäre eine rein regelbasierte Steuerung mit festen Schwellenwerten – diese wäre kein KI-System.</w:t>
      </w:r>
    </w:p>
    <w:p w14:paraId="282895E7" w14:textId="77777777" w:rsidR="006D4FF4" w:rsidRDefault="00000000">
      <w:pPr>
        <w:keepNext/>
        <w:spacing w:before="200" w:after="80"/>
      </w:pPr>
      <w:r>
        <w:rPr>
          <w:b/>
          <w:bCs/>
          <w:color w:val="1A5FB4"/>
        </w:rPr>
        <w:t xml:space="preserve">Frage 2:  </w:t>
      </w:r>
      <w:r>
        <w:rPr>
          <w:b/>
          <w:bCs/>
        </w:rPr>
        <w:t>Ist der Anwendungsbereich der KI-VO eröffnet oder greift eine Bereichsausnahme (Art. 2, Art. 111 Abs. 2 KI-VO)?</w:t>
      </w:r>
    </w:p>
    <w:p w14:paraId="380B7BB0" w14:textId="77777777" w:rsidR="006D4FF4" w:rsidRDefault="00000000">
      <w:pPr>
        <w:spacing w:after="100"/>
      </w:pPr>
      <w:r>
        <w:t>Ja, eröffnet. Keine Bereichsausnahme; insbesondere keine Ausnahme für kritische Infrastruktur.</w:t>
      </w:r>
    </w:p>
    <w:p w14:paraId="2B94CE54" w14:textId="77777777" w:rsidR="006D4FF4" w:rsidRDefault="00000000">
      <w:pPr>
        <w:keepNext/>
        <w:spacing w:before="200" w:after="80"/>
      </w:pPr>
      <w:r>
        <w:rPr>
          <w:b/>
          <w:bCs/>
          <w:color w:val="1A5FB4"/>
        </w:rPr>
        <w:t xml:space="preserve">Frage 3:  </w:t>
      </w:r>
      <w:r>
        <w:rPr>
          <w:b/>
          <w:bCs/>
        </w:rPr>
        <w:t>In welcher Rolle handelt die Behörde (Art. 3 Nr. 3, Nr. 4 KI-VO)? Kommt ein Rollenwechsel zum Anbieter nach Art. 25 KI-VO in Betracht?</w:t>
      </w:r>
    </w:p>
    <w:p w14:paraId="06BC399F" w14:textId="77777777" w:rsidR="006D4FF4" w:rsidRDefault="00000000">
      <w:pPr>
        <w:spacing w:after="100"/>
      </w:pPr>
      <w:r>
        <w:t>Die Stadtwerke bzw. die Stadt sind Betreiber. Kein Rollenwechsel nach Art. 25 KI-VO, solange das System unverändert eingesetzt wird. Die geplante Übertragung auf die Lichtsignalanlagen ist eine Zweckänderung und gesondert zu prüfen.</w:t>
      </w:r>
    </w:p>
    <w:p w14:paraId="7DFB38B6" w14:textId="77777777" w:rsidR="006D4FF4" w:rsidRDefault="00000000">
      <w:pPr>
        <w:keepNext/>
        <w:spacing w:before="200" w:after="80"/>
      </w:pPr>
      <w:r>
        <w:rPr>
          <w:b/>
          <w:bCs/>
          <w:color w:val="1A5FB4"/>
        </w:rPr>
        <w:t xml:space="preserve">Frage 4:  </w:t>
      </w:r>
      <w:r>
        <w:rPr>
          <w:b/>
          <w:bCs/>
        </w:rPr>
        <w:t>Wie lautet die Zweckbestimmung (Art. 3 Nr. 12 KI-VO), und weicht die tatsächlich beabsichtigte Verwendung davon ab?</w:t>
      </w:r>
    </w:p>
    <w:p w14:paraId="29BBA7E9" w14:textId="77777777" w:rsidR="006D4FF4" w:rsidRDefault="00000000">
      <w:pPr>
        <w:spacing w:after="100"/>
      </w:pPr>
      <w:r>
        <w:t>Zweckbestimmung: Steuerung und Überwachung der Trinkwasserversorgung. Die beabsichtigte Verwendung deckt sich damit. Die geplante Nutzung für den Straßenverkehr liegt außerhalb der Zweckbestimmung und erfordert eine neue Prüfung – sie fiele ebenfalls unter Anhang III Nr. 2.</w:t>
      </w:r>
    </w:p>
    <w:p w14:paraId="1F2570FC" w14:textId="77777777" w:rsidR="006D4FF4" w:rsidRDefault="00000000">
      <w:pPr>
        <w:keepNext/>
        <w:spacing w:before="200" w:after="80"/>
      </w:pPr>
      <w:r>
        <w:rPr>
          <w:b/>
          <w:bCs/>
          <w:color w:val="1A5FB4"/>
        </w:rPr>
        <w:t xml:space="preserve">Frage 5:  </w:t>
      </w:r>
      <w:r>
        <w:rPr>
          <w:b/>
          <w:bCs/>
        </w:rPr>
        <w:t>Liegt eine verbotene Praktik nach Art. 5 KI-VO vor? Welcher Buchstabe kommt in Betracht, und welche Abgrenzung ist zu treffen?</w:t>
      </w:r>
    </w:p>
    <w:p w14:paraId="7A6C3721" w14:textId="77777777" w:rsidR="006D4FF4" w:rsidRDefault="00000000">
      <w:pPr>
        <w:spacing w:after="100"/>
      </w:pPr>
      <w:r>
        <w:t>Nein. Art. 5 KI-VO ist nicht einschlägig; es findet keine Bewertung natürlicher Personen statt.</w:t>
      </w:r>
    </w:p>
    <w:p w14:paraId="248BE70C" w14:textId="77777777" w:rsidR="006D4FF4" w:rsidRDefault="00000000">
      <w:pPr>
        <w:keepNext/>
        <w:spacing w:before="200" w:after="80"/>
      </w:pPr>
      <w:r>
        <w:rPr>
          <w:b/>
          <w:bCs/>
          <w:color w:val="1A5FB4"/>
        </w:rPr>
        <w:t xml:space="preserve">Frage 6:  </w:t>
      </w:r>
      <w:r>
        <w:rPr>
          <w:b/>
          <w:bCs/>
        </w:rPr>
        <w:t>Liegt ein Hochrisiko-Fall nach Art. 6 Abs. 1 i. V. m. Anhang I oder nach Art. 6 Abs. 2 i. V. m. Anhang III vor? Benennen Sie den konkreten Tatbestand.</w:t>
      </w:r>
    </w:p>
    <w:p w14:paraId="262B8D27" w14:textId="77777777" w:rsidR="006D4FF4" w:rsidRDefault="00000000">
      <w:pPr>
        <w:spacing w:after="100"/>
      </w:pPr>
      <w:r>
        <w:t>Ja: Anhang III Nr. 2 KI-VO – Sicherheitsbauteil für die Verwaltung und den Betrieb der Wasserversorgung. Anhang I ist nicht einschlägig, weil die Anlagensteuerung nicht unter die dort genannten Harmonisierungsrechtsvorschriften mit Drittkonformitätsbewertung fällt.</w:t>
      </w:r>
    </w:p>
    <w:p w14:paraId="6FD2EA2E" w14:textId="77777777" w:rsidR="006D4FF4" w:rsidRDefault="00000000">
      <w:pPr>
        <w:keepNext/>
        <w:spacing w:before="200" w:after="80"/>
      </w:pPr>
      <w:r>
        <w:rPr>
          <w:b/>
          <w:bCs/>
          <w:color w:val="1A5FB4"/>
        </w:rPr>
        <w:t xml:space="preserve">Frage 7:  </w:t>
      </w:r>
      <w:r>
        <w:rPr>
          <w:b/>
          <w:bCs/>
        </w:rPr>
        <w:t>Greift die Ausnahme des Art. 6 Abs. 3 KI-VO? Welche Folgepflichten bestehen auch dann (Art. 6 Abs. 4, Art. 49 Abs. 2 KI-VO)?</w:t>
      </w:r>
    </w:p>
    <w:p w14:paraId="096EDED3" w14:textId="77777777" w:rsidR="006D4FF4" w:rsidRDefault="00000000">
      <w:pPr>
        <w:spacing w:after="100"/>
      </w:pPr>
      <w:r>
        <w:t>Nein. Das System ersetzt die menschliche Entscheidung nicht nur vorbereitend, sondern greift selbsttätig regelnd ein. Eine eng gefasste Verfahrensaufgabe liegt nicht vor.</w:t>
      </w:r>
    </w:p>
    <w:p w14:paraId="7D66FEB8" w14:textId="77777777" w:rsidR="006D4FF4" w:rsidRDefault="00000000">
      <w:pPr>
        <w:keepNext/>
        <w:spacing w:before="200" w:after="80"/>
      </w:pPr>
      <w:r>
        <w:rPr>
          <w:b/>
          <w:bCs/>
          <w:color w:val="1A5FB4"/>
        </w:rPr>
        <w:lastRenderedPageBreak/>
        <w:t xml:space="preserve">Frage 8:  </w:t>
      </w:r>
      <w:r>
        <w:rPr>
          <w:b/>
          <w:bCs/>
        </w:rPr>
        <w:t>Welche Risikoklasse ergibt sich als Ergebnis, und ab welchem Zeitpunkt gelten die Pflichten?</w:t>
      </w:r>
    </w:p>
    <w:p w14:paraId="7346D047" w14:textId="77777777" w:rsidR="006D4FF4" w:rsidRDefault="00000000">
      <w:pPr>
        <w:spacing w:after="100"/>
      </w:pPr>
      <w:r>
        <w:t>Hochrisiko-KI-System nach Art. 6 Abs. 2 i. V. m. Anhang III Nr. 2 KI-VO; Pflichten ab dem 2. Dezember 2027.</w:t>
      </w:r>
    </w:p>
    <w:p w14:paraId="7EB12229" w14:textId="77777777" w:rsidR="006D4FF4" w:rsidRDefault="00000000">
      <w:pPr>
        <w:keepNext/>
        <w:spacing w:before="200" w:after="80"/>
      </w:pPr>
      <w:r>
        <w:rPr>
          <w:b/>
          <w:bCs/>
          <w:color w:val="1A5FB4"/>
        </w:rPr>
        <w:t xml:space="preserve">Frage 9:  </w:t>
      </w:r>
      <w:r>
        <w:rPr>
          <w:b/>
          <w:bCs/>
        </w:rPr>
        <w:t>Welche konkreten Maßnahmen und Pflichten treffen die Behörde (insbesondere Art. 26, 27, 49, 86 KI-VO bzw. Anbieterpflichten)? Wer ist in Ihrem Haus jeweils zuständig?</w:t>
      </w:r>
    </w:p>
    <w:p w14:paraId="6C786E29" w14:textId="77777777" w:rsidR="006D4FF4" w:rsidRPr="005F785E" w:rsidRDefault="00000000">
      <w:pPr>
        <w:spacing w:after="100"/>
        <w:rPr>
          <w:color w:val="000000" w:themeColor="text1"/>
        </w:rPr>
      </w:pPr>
      <w:r w:rsidRPr="005F785E">
        <w:rPr>
          <w:color w:val="000000" w:themeColor="text1"/>
        </w:rPr>
        <w:t>Art. 26 KI-VO vollständig, mit Schwerpunkt auf Abs. 2 (menschliche Aufsicht mit tatsächlicher Eingriffsmöglichkeit – die Praxis "wir folgen fast immer" ist zu hinterfragen), Abs. 5 (Betriebsüberwachung und Vorfallmeldung) und Abs. 6 (Protokolle). Systeme nach Anhang III Nr. 2 werden gemäß Art. 49 Abs. 5 auf nationaler Ebene registriert; Art. 49 Abs. 3 über die EU-Datenbank ist hier ausdrücklich nicht anwendbar. Eine Grundrechte-Folgenabschätzung nach Art. 27 KI-VO ist wegen der Ausnahme für Anhang III Nr. 2 nicht erforderlich. Art. 26 Abs. 11 und Art. 86 KI-VO laufen mangels Entscheidung über natürliche Personen leer.</w:t>
      </w:r>
    </w:p>
    <w:p w14:paraId="6327110E" w14:textId="77777777" w:rsidR="006D4FF4" w:rsidRDefault="00000000">
      <w:pPr>
        <w:keepNext/>
        <w:spacing w:before="200" w:after="80"/>
      </w:pPr>
      <w:r>
        <w:rPr>
          <w:b/>
          <w:bCs/>
          <w:color w:val="1A5FB4"/>
        </w:rPr>
        <w:t xml:space="preserve">Frage 10:  </w:t>
      </w:r>
      <w:r>
        <w:rPr>
          <w:b/>
          <w:bCs/>
        </w:rPr>
        <w:t>Welche Transparenzpflichten nach Art. 50 KI-VO und welche flankierenden Prüfungen (Datenschutz, Personalvertretung, Verwaltungsverfahren, IT-Sicherheit, Vergabe, Geheimnisschutz) sind zu veranlassen?</w:t>
      </w:r>
    </w:p>
    <w:p w14:paraId="6CC63128" w14:textId="77777777" w:rsidR="006D4FF4" w:rsidRDefault="00000000">
      <w:pPr>
        <w:spacing w:after="100"/>
      </w:pPr>
      <w:r>
        <w:t>Art. 50 KI-VO nicht einschlägig. Flankierend stehen hier nicht der Datenschutz, sondern Informationssicherheit und Betriebssicherheit im Vordergrund: BSI IT-Grundschutz, Notfall- und Rückfallkonzept für den manuellen Betrieb, Redundanzen, gegebenenfalls KRITIS- und NIS-2-Anforderungen, Trinkwasserverordnung, vertragliche Regelung von Updates und Support.</w:t>
      </w:r>
    </w:p>
    <w:p w14:paraId="0A58BB07" w14:textId="77777777" w:rsidR="006D4FF4" w:rsidRDefault="00000000">
      <w:pPr>
        <w:pStyle w:val="berschrift2"/>
        <w:keepNext/>
        <w:spacing w:before="280" w:after="140"/>
      </w:pPr>
      <w:bookmarkStart w:id="13" w:name="_Toc240325000"/>
      <w:r>
        <w:rPr>
          <w:b/>
          <w:bCs/>
          <w:color w:val="1A5FB4"/>
          <w:sz w:val="25"/>
          <w:szCs w:val="25"/>
        </w:rPr>
        <w:t>Stolpersteine und Diskussionsimpulse</w:t>
      </w:r>
      <w:bookmarkEnd w:id="13"/>
    </w:p>
    <w:p w14:paraId="090BB9D0" w14:textId="77777777" w:rsidR="006D4FF4" w:rsidRDefault="00000000">
      <w:pPr>
        <w:pStyle w:val="Listenabsatz"/>
        <w:numPr>
          <w:ilvl w:val="0"/>
          <w:numId w:val="2"/>
        </w:numPr>
        <w:spacing w:after="60"/>
      </w:pPr>
      <w:r>
        <w:t>Häufiger Irrtum: "Ohne personenbezogene Daten keine KI-VO." Die KI-VO ist Produktsicherheitsrecht, nicht Datenschutzrecht.</w:t>
      </w:r>
    </w:p>
    <w:p w14:paraId="21E411DE" w14:textId="77777777" w:rsidR="006D4FF4" w:rsidRDefault="00000000">
      <w:pPr>
        <w:pStyle w:val="Listenabsatz"/>
        <w:numPr>
          <w:ilvl w:val="0"/>
          <w:numId w:val="2"/>
        </w:numPr>
        <w:spacing w:after="60"/>
      </w:pPr>
      <w:r>
        <w:t>Die Ausnahme von Art. 27 KI-VO für Anhang III Nr. 2 wird regelmäßig übersehen – hier liegt der Lerneffekt des Falls.</w:t>
      </w:r>
    </w:p>
    <w:p w14:paraId="458E390E" w14:textId="77777777" w:rsidR="006D4FF4" w:rsidRDefault="00000000">
      <w:pPr>
        <w:pStyle w:val="Listenabsatz"/>
        <w:numPr>
          <w:ilvl w:val="0"/>
          <w:numId w:val="2"/>
        </w:numPr>
        <w:spacing w:after="60"/>
      </w:pPr>
      <w:r>
        <w:t>Die geplante Ausweitung auf Lichtsignalanlagen eignet sich als Anschlussdiskussion zur Zweckänderung.</w:t>
      </w:r>
    </w:p>
    <w:p w14:paraId="7C2FABE5" w14:textId="77777777" w:rsidR="006D4FF4" w:rsidRDefault="00000000">
      <w:pPr>
        <w:pBdr>
          <w:top w:val="single" w:sz="6" w:space="0" w:color="1A5FB4"/>
          <w:left w:val="single" w:sz="18" w:space="0" w:color="1A5FB4"/>
          <w:bottom w:val="single" w:sz="6" w:space="0" w:color="1A5FB4"/>
          <w:right w:val="single" w:sz="6" w:space="0" w:color="1A5FB4"/>
        </w:pBdr>
        <w:shd w:val="clear" w:color="auto" w:fill="EAF1FB"/>
        <w:spacing w:before="160"/>
      </w:pPr>
      <w:r>
        <w:rPr>
          <w:b/>
          <w:bCs/>
          <w:color w:val="0B3B7A"/>
        </w:rPr>
        <w:t>Ergebnis in einem Satz</w:t>
      </w:r>
    </w:p>
    <w:p w14:paraId="4BE259EA" w14:textId="77777777" w:rsidR="006D4FF4" w:rsidRDefault="00000000">
      <w:pPr>
        <w:pBdr>
          <w:left w:val="single" w:sz="18" w:space="0" w:color="1A5FB4"/>
          <w:bottom w:val="single" w:sz="6" w:space="0" w:color="1A5FB4"/>
          <w:right w:val="single" w:sz="6" w:space="0" w:color="1A5FB4"/>
        </w:pBdr>
        <w:shd w:val="clear" w:color="auto" w:fill="EAF1FB"/>
        <w:spacing w:after="160"/>
      </w:pPr>
      <w:r>
        <w:rPr>
          <w:color w:val="0B3B7A"/>
          <w:sz w:val="20"/>
          <w:szCs w:val="20"/>
        </w:rPr>
        <w:t>Hochrisiko nach Anhang III Nr. 2 KI-VO; Art. 26 und Art. 49 ja, Art. 27 nein.</w:t>
      </w:r>
    </w:p>
    <w:p w14:paraId="45A04B3C" w14:textId="77777777" w:rsidR="006D4FF4" w:rsidRDefault="00000000">
      <w:r>
        <w:br w:type="page"/>
      </w:r>
    </w:p>
    <w:p w14:paraId="317325D9" w14:textId="77777777" w:rsidR="006D4FF4" w:rsidRDefault="00000000">
      <w:pPr>
        <w:pStyle w:val="berschrift1"/>
        <w:keepNext/>
        <w:spacing w:before="360" w:after="180"/>
      </w:pPr>
      <w:bookmarkStart w:id="14" w:name="_Toc240325001"/>
      <w:r>
        <w:rPr>
          <w:b/>
          <w:bCs/>
          <w:color w:val="1A5FB4"/>
          <w:sz w:val="30"/>
          <w:szCs w:val="30"/>
        </w:rPr>
        <w:lastRenderedPageBreak/>
        <w:t>Prüffall 4 – Vorausschauende Wartung der Aufzugsanlage</w:t>
      </w:r>
      <w:bookmarkEnd w:id="14"/>
    </w:p>
    <w:tbl>
      <w:tblPr>
        <w:tblW w:w="9638"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2200"/>
        <w:gridCol w:w="7438"/>
      </w:tblGrid>
      <w:tr w:rsidR="006D4FF4" w14:paraId="20F89DF3" w14:textId="77777777">
        <w:tblPrEx>
          <w:tblCellMar>
            <w:top w:w="0" w:type="dxa"/>
            <w:bottom w:w="0" w:type="dxa"/>
          </w:tblCellMar>
        </w:tblPrEx>
        <w:trPr>
          <w:tblHeader/>
        </w:trPr>
        <w:tc>
          <w:tcPr>
            <w:tcW w:w="2200" w:type="dxa"/>
            <w:shd w:val="clear" w:color="auto" w:fill="1A5FB4"/>
            <w:tcMar>
              <w:top w:w="60" w:type="dxa"/>
              <w:left w:w="100" w:type="dxa"/>
              <w:bottom w:w="60" w:type="dxa"/>
              <w:right w:w="100" w:type="dxa"/>
            </w:tcMar>
          </w:tcPr>
          <w:p w14:paraId="297FC2A3" w14:textId="77777777" w:rsidR="006D4FF4" w:rsidRDefault="00000000">
            <w:pPr>
              <w:spacing w:before="40" w:after="40" w:line="252" w:lineRule="auto"/>
            </w:pPr>
            <w:r>
              <w:rPr>
                <w:b/>
                <w:bCs/>
                <w:color w:val="FFFFFF"/>
                <w:sz w:val="19"/>
                <w:szCs w:val="19"/>
              </w:rPr>
              <w:t>Merkmal</w:t>
            </w:r>
          </w:p>
        </w:tc>
        <w:tc>
          <w:tcPr>
            <w:tcW w:w="7438" w:type="dxa"/>
            <w:shd w:val="clear" w:color="auto" w:fill="1A5FB4"/>
            <w:tcMar>
              <w:top w:w="60" w:type="dxa"/>
              <w:left w:w="100" w:type="dxa"/>
              <w:bottom w:w="60" w:type="dxa"/>
              <w:right w:w="100" w:type="dxa"/>
            </w:tcMar>
          </w:tcPr>
          <w:p w14:paraId="255AA1A9" w14:textId="77777777" w:rsidR="006D4FF4" w:rsidRDefault="00000000">
            <w:pPr>
              <w:spacing w:before="40" w:after="40" w:line="252" w:lineRule="auto"/>
            </w:pPr>
            <w:r>
              <w:rPr>
                <w:b/>
                <w:bCs/>
                <w:color w:val="FFFFFF"/>
                <w:sz w:val="19"/>
                <w:szCs w:val="19"/>
              </w:rPr>
              <w:t>Angabe</w:t>
            </w:r>
          </w:p>
        </w:tc>
      </w:tr>
      <w:tr w:rsidR="006D4FF4" w14:paraId="42980D98" w14:textId="77777777">
        <w:tblPrEx>
          <w:tblCellMar>
            <w:top w:w="0" w:type="dxa"/>
            <w:bottom w:w="0" w:type="dxa"/>
          </w:tblCellMar>
        </w:tblPrEx>
        <w:tc>
          <w:tcPr>
            <w:tcW w:w="2200" w:type="dxa"/>
            <w:tcMar>
              <w:top w:w="60" w:type="dxa"/>
              <w:left w:w="100" w:type="dxa"/>
              <w:bottom w:w="60" w:type="dxa"/>
              <w:right w:w="100" w:type="dxa"/>
            </w:tcMar>
          </w:tcPr>
          <w:p w14:paraId="7CD026AD" w14:textId="77777777" w:rsidR="006D4FF4" w:rsidRDefault="00000000">
            <w:pPr>
              <w:spacing w:before="40" w:after="40" w:line="252" w:lineRule="auto"/>
            </w:pPr>
            <w:r>
              <w:rPr>
                <w:sz w:val="19"/>
                <w:szCs w:val="19"/>
              </w:rPr>
              <w:t>Schwerpunkt</w:t>
            </w:r>
          </w:p>
        </w:tc>
        <w:tc>
          <w:tcPr>
            <w:tcW w:w="7438" w:type="dxa"/>
            <w:tcMar>
              <w:top w:w="60" w:type="dxa"/>
              <w:left w:w="100" w:type="dxa"/>
              <w:bottom w:w="60" w:type="dxa"/>
              <w:right w:w="100" w:type="dxa"/>
            </w:tcMar>
          </w:tcPr>
          <w:p w14:paraId="5868ABEA" w14:textId="77777777" w:rsidR="006D4FF4" w:rsidRDefault="00000000">
            <w:pPr>
              <w:spacing w:before="40" w:after="40" w:line="252" w:lineRule="auto"/>
            </w:pPr>
            <w:r>
              <w:rPr>
                <w:sz w:val="19"/>
                <w:szCs w:val="19"/>
              </w:rPr>
              <w:t>Hochrisiko – Anhang I</w:t>
            </w:r>
          </w:p>
        </w:tc>
      </w:tr>
      <w:tr w:rsidR="006D4FF4" w14:paraId="59999EFA" w14:textId="77777777">
        <w:tblPrEx>
          <w:tblCellMar>
            <w:top w:w="0" w:type="dxa"/>
            <w:bottom w:w="0" w:type="dxa"/>
          </w:tblCellMar>
        </w:tblPrEx>
        <w:tc>
          <w:tcPr>
            <w:tcW w:w="2200" w:type="dxa"/>
            <w:shd w:val="clear" w:color="auto" w:fill="FAFAFA"/>
            <w:tcMar>
              <w:top w:w="60" w:type="dxa"/>
              <w:left w:w="100" w:type="dxa"/>
              <w:bottom w:w="60" w:type="dxa"/>
              <w:right w:w="100" w:type="dxa"/>
            </w:tcMar>
          </w:tcPr>
          <w:p w14:paraId="5E4E5509" w14:textId="77777777" w:rsidR="006D4FF4" w:rsidRDefault="00000000">
            <w:pPr>
              <w:spacing w:before="40" w:after="40" w:line="252" w:lineRule="auto"/>
            </w:pPr>
            <w:r>
              <w:rPr>
                <w:sz w:val="19"/>
                <w:szCs w:val="19"/>
              </w:rPr>
              <w:t>Lernziel</w:t>
            </w:r>
          </w:p>
        </w:tc>
        <w:tc>
          <w:tcPr>
            <w:tcW w:w="7438" w:type="dxa"/>
            <w:shd w:val="clear" w:color="auto" w:fill="FAFAFA"/>
            <w:tcMar>
              <w:top w:w="60" w:type="dxa"/>
              <w:left w:w="100" w:type="dxa"/>
              <w:bottom w:w="60" w:type="dxa"/>
              <w:right w:w="100" w:type="dxa"/>
            </w:tcMar>
          </w:tcPr>
          <w:p w14:paraId="7E212BC8" w14:textId="77777777" w:rsidR="006D4FF4" w:rsidRDefault="00000000">
            <w:pPr>
              <w:spacing w:before="40" w:after="40" w:line="252" w:lineRule="auto"/>
            </w:pPr>
            <w:r>
              <w:rPr>
                <w:sz w:val="19"/>
                <w:szCs w:val="19"/>
              </w:rPr>
              <w:t>Den produktbezogenen Weg des Art. 6 Abs. 1 KI-VO erkennen und von Anhang III abgrenzen.</w:t>
            </w:r>
          </w:p>
        </w:tc>
      </w:tr>
      <w:tr w:rsidR="006D4FF4" w14:paraId="4876D629" w14:textId="77777777">
        <w:tblPrEx>
          <w:tblCellMar>
            <w:top w:w="0" w:type="dxa"/>
            <w:bottom w:w="0" w:type="dxa"/>
          </w:tblCellMar>
        </w:tblPrEx>
        <w:tc>
          <w:tcPr>
            <w:tcW w:w="2200" w:type="dxa"/>
            <w:tcMar>
              <w:top w:w="60" w:type="dxa"/>
              <w:left w:w="100" w:type="dxa"/>
              <w:bottom w:w="60" w:type="dxa"/>
              <w:right w:w="100" w:type="dxa"/>
            </w:tcMar>
          </w:tcPr>
          <w:p w14:paraId="7574B84E" w14:textId="77777777" w:rsidR="006D4FF4" w:rsidRDefault="00000000">
            <w:pPr>
              <w:spacing w:before="40" w:after="40" w:line="252" w:lineRule="auto"/>
            </w:pPr>
            <w:r>
              <w:rPr>
                <w:sz w:val="19"/>
                <w:szCs w:val="19"/>
              </w:rPr>
              <w:t>Ergebnis</w:t>
            </w:r>
          </w:p>
        </w:tc>
        <w:tc>
          <w:tcPr>
            <w:tcW w:w="7438" w:type="dxa"/>
            <w:tcMar>
              <w:top w:w="60" w:type="dxa"/>
              <w:left w:w="100" w:type="dxa"/>
              <w:bottom w:w="60" w:type="dxa"/>
              <w:right w:w="100" w:type="dxa"/>
            </w:tcMar>
          </w:tcPr>
          <w:p w14:paraId="19CF8039" w14:textId="77777777" w:rsidR="006D4FF4" w:rsidRDefault="00000000">
            <w:pPr>
              <w:spacing w:before="40" w:after="40" w:line="252" w:lineRule="auto"/>
            </w:pPr>
            <w:r>
              <w:rPr>
                <w:sz w:val="19"/>
                <w:szCs w:val="19"/>
              </w:rPr>
              <w:t>Hochrisiko nach Art. 6 Abs. 1 i. V. m. Anhang I KI-VO; Herstellerpflichten im Vordergrund, Betreiberpflichten nach Art. 26 KI-VO ab 2028.</w:t>
            </w:r>
          </w:p>
        </w:tc>
      </w:tr>
    </w:tbl>
    <w:p w14:paraId="1202B95D" w14:textId="77777777" w:rsidR="006D4FF4" w:rsidRDefault="006D4FF4">
      <w:pPr>
        <w:spacing w:after="140"/>
      </w:pPr>
    </w:p>
    <w:p w14:paraId="74A64749" w14:textId="77777777" w:rsidR="006D4FF4" w:rsidRDefault="00000000">
      <w:pPr>
        <w:pStyle w:val="berschrift2"/>
        <w:keepNext/>
        <w:spacing w:before="280" w:after="140"/>
      </w:pPr>
      <w:bookmarkStart w:id="15" w:name="_Toc240325002"/>
      <w:r>
        <w:rPr>
          <w:b/>
          <w:bCs/>
          <w:color w:val="1A5FB4"/>
          <w:sz w:val="25"/>
          <w:szCs w:val="25"/>
        </w:rPr>
        <w:t>Musterlösung</w:t>
      </w:r>
      <w:bookmarkEnd w:id="15"/>
    </w:p>
    <w:p w14:paraId="2A09B1C2" w14:textId="77777777" w:rsidR="006D4FF4" w:rsidRDefault="00000000">
      <w:pPr>
        <w:keepNext/>
        <w:spacing w:before="200" w:after="80"/>
      </w:pPr>
      <w:r>
        <w:rPr>
          <w:b/>
          <w:bCs/>
          <w:color w:val="1A5FB4"/>
        </w:rPr>
        <w:t xml:space="preserve">Frage 1:  </w:t>
      </w:r>
      <w:r>
        <w:rPr>
          <w:b/>
          <w:bCs/>
        </w:rPr>
        <w:t>Liegt ein KI-System im Sinne des Art. 3 Nr. 1 KI-VO vor? Begründen Sie anhand der einzelnen Begriffsmerkmale.</w:t>
      </w:r>
    </w:p>
    <w:p w14:paraId="50F52B14" w14:textId="77777777" w:rsidR="006D4FF4" w:rsidRDefault="00000000">
      <w:pPr>
        <w:spacing w:after="100"/>
      </w:pPr>
      <w:r>
        <w:t>Ja, soweit die Komponente aus Sensordaten Verschleißzustände ableitet und daraus Stillsetzungsentscheidungen erzeugt. Eine reine Schwellenwertüberwachung wäre dagegen kein KI-System – der Unterschied ist im Prüfraster zu begründen.</w:t>
      </w:r>
    </w:p>
    <w:p w14:paraId="688282AB" w14:textId="77777777" w:rsidR="006D4FF4" w:rsidRDefault="00000000">
      <w:pPr>
        <w:keepNext/>
        <w:spacing w:before="200" w:after="80"/>
      </w:pPr>
      <w:r>
        <w:rPr>
          <w:b/>
          <w:bCs/>
          <w:color w:val="1A5FB4"/>
        </w:rPr>
        <w:t xml:space="preserve">Frage 2:  </w:t>
      </w:r>
      <w:r>
        <w:rPr>
          <w:b/>
          <w:bCs/>
        </w:rPr>
        <w:t>Ist der Anwendungsbereich der KI-VO eröffnet oder greift eine Bereichsausnahme (Art. 2, Art. 111 Abs. 2 KI-VO)?</w:t>
      </w:r>
    </w:p>
    <w:p w14:paraId="71DBC33E" w14:textId="77777777" w:rsidR="006D4FF4" w:rsidRDefault="00000000">
      <w:pPr>
        <w:spacing w:after="100"/>
      </w:pPr>
      <w:r>
        <w:t>Ja, eröffnet. Zu beachten ist Art. 2 Abs. 2 KI-VO für Produktkategorien des Anhangs I Abschnitt B; Aufzüge sind in Abschnitt A erfasst, sodass die KI-VO vollumfänglich neben der Aufzugsrichtlinie gilt.</w:t>
      </w:r>
    </w:p>
    <w:p w14:paraId="16DE1BA9" w14:textId="77777777" w:rsidR="006D4FF4" w:rsidRDefault="00000000">
      <w:pPr>
        <w:keepNext/>
        <w:spacing w:before="200" w:after="80"/>
      </w:pPr>
      <w:r>
        <w:rPr>
          <w:b/>
          <w:bCs/>
          <w:color w:val="1A5FB4"/>
        </w:rPr>
        <w:t xml:space="preserve">Frage 3:  </w:t>
      </w:r>
      <w:r>
        <w:rPr>
          <w:b/>
          <w:bCs/>
        </w:rPr>
        <w:t>In welcher Rolle handelt die Behörde (Art. 3 Nr. 3, Nr. 4 KI-VO)? Kommt ein Rollenwechsel zum Anbieter nach Art. 25 KI-VO in Betracht?</w:t>
      </w:r>
    </w:p>
    <w:p w14:paraId="61D7D8B7" w14:textId="77777777" w:rsidR="006D4FF4" w:rsidRDefault="00000000">
      <w:pPr>
        <w:spacing w:after="100"/>
      </w:pPr>
      <w:r>
        <w:t>Die Stadt ist Betreiberin. Anbieter ist der Aufzugshersteller, der die KI-Komponente in sein Produkt integriert und mit CE-Kennzeichnung in Verkehr bringt (Produkthersteller-Konstellation, Art. 25 Abs. 3 KI-VO). Für die Stadt kein Rollenwechsel, solange sie nichts verändert.</w:t>
      </w:r>
    </w:p>
    <w:p w14:paraId="30A1D8C5" w14:textId="77777777" w:rsidR="006D4FF4" w:rsidRDefault="00000000">
      <w:pPr>
        <w:keepNext/>
        <w:spacing w:before="200" w:after="80"/>
      </w:pPr>
      <w:r>
        <w:rPr>
          <w:b/>
          <w:bCs/>
          <w:color w:val="1A5FB4"/>
        </w:rPr>
        <w:t xml:space="preserve">Frage 4:  </w:t>
      </w:r>
      <w:r>
        <w:rPr>
          <w:b/>
          <w:bCs/>
        </w:rPr>
        <w:t>Wie lautet die Zweckbestimmung (Art. 3 Nr. 12 KI-VO), und weicht die tatsächlich beabsichtigte Verwendung davon ab?</w:t>
      </w:r>
    </w:p>
    <w:p w14:paraId="4C05D3CF" w14:textId="77777777" w:rsidR="006D4FF4" w:rsidRDefault="00000000">
      <w:pPr>
        <w:spacing w:after="100"/>
      </w:pPr>
      <w:r>
        <w:t>Zweckbestimmung: sicherheitsrelevante Zustandsüberwachung und vorausschauende Wartung der Aufzugsanlage. Die Übertragung auf Heizungsanlagen wäre eine Zweckänderung außerhalb der Zweckbestimmung und erneut zu prüfen – dort läge allerdings regelmäßig kein Hochrisiko-Fall vor.</w:t>
      </w:r>
    </w:p>
    <w:p w14:paraId="169B88AA" w14:textId="77777777" w:rsidR="006D4FF4" w:rsidRDefault="00000000">
      <w:pPr>
        <w:keepNext/>
        <w:spacing w:before="200" w:after="80"/>
      </w:pPr>
      <w:r>
        <w:rPr>
          <w:b/>
          <w:bCs/>
          <w:color w:val="1A5FB4"/>
        </w:rPr>
        <w:t xml:space="preserve">Frage 5:  </w:t>
      </w:r>
      <w:r>
        <w:rPr>
          <w:b/>
          <w:bCs/>
        </w:rPr>
        <w:t>Liegt eine verbotene Praktik nach Art. 5 KI-VO vor? Welcher Buchstabe kommt in Betracht, und welche Abgrenzung ist zu treffen?</w:t>
      </w:r>
    </w:p>
    <w:p w14:paraId="67D69AC7" w14:textId="77777777" w:rsidR="006D4FF4" w:rsidRDefault="00000000">
      <w:pPr>
        <w:spacing w:after="100"/>
      </w:pPr>
      <w:r>
        <w:t>Nein.</w:t>
      </w:r>
    </w:p>
    <w:p w14:paraId="2EFCA6E6" w14:textId="77777777" w:rsidR="006D4FF4" w:rsidRDefault="00000000">
      <w:pPr>
        <w:keepNext/>
        <w:spacing w:before="200" w:after="80"/>
      </w:pPr>
      <w:r>
        <w:rPr>
          <w:b/>
          <w:bCs/>
          <w:color w:val="1A5FB4"/>
        </w:rPr>
        <w:t xml:space="preserve">Frage 6:  </w:t>
      </w:r>
      <w:r>
        <w:rPr>
          <w:b/>
          <w:bCs/>
        </w:rPr>
        <w:t>Liegt ein Hochrisiko-Fall nach Art. 6 Abs. 1 i. V. m. Anhang I oder nach Art. 6 Abs. 2 i. V. m. Anhang III vor? Benennen Sie den konkreten Tatbestand.</w:t>
      </w:r>
    </w:p>
    <w:p w14:paraId="2D9BA0E5" w14:textId="77777777" w:rsidR="006D4FF4" w:rsidRDefault="00000000">
      <w:pPr>
        <w:spacing w:after="100"/>
      </w:pPr>
      <w:r>
        <w:t>Ja, aber über Art. 6 Abs. 1 KI-VO: Das KI-System wird als Sicherheitsbauteil eines Produkts verwendet, das unter die Harmonisierungsrechtsvorschriften des Anhangs I fällt (Aufzüge, Anhang I Nr. 4) und für das eine Konformitätsbewertung durch Dritte erforderlich ist. Anhang III ist nicht einschlägig.</w:t>
      </w:r>
    </w:p>
    <w:p w14:paraId="467834C7" w14:textId="77777777" w:rsidR="006D4FF4" w:rsidRDefault="00000000">
      <w:pPr>
        <w:keepNext/>
        <w:spacing w:before="200" w:after="80"/>
      </w:pPr>
      <w:r>
        <w:rPr>
          <w:b/>
          <w:bCs/>
          <w:color w:val="1A5FB4"/>
        </w:rPr>
        <w:t xml:space="preserve">Frage 7:  </w:t>
      </w:r>
      <w:r>
        <w:rPr>
          <w:b/>
          <w:bCs/>
        </w:rPr>
        <w:t>Greift die Ausnahme des Art. 6 Abs. 3 KI-VO? Welche Folgepflichten bestehen auch dann (Art. 6 Abs. 4, Art. 49 Abs. 2 KI-VO)?</w:t>
      </w:r>
    </w:p>
    <w:p w14:paraId="0C8D89FE" w14:textId="77777777" w:rsidR="006D4FF4" w:rsidRDefault="00000000">
      <w:pPr>
        <w:spacing w:after="100"/>
      </w:pPr>
      <w:r>
        <w:t>Nein. Art. 6 Abs. 3 KI-VO gilt ausschließlich für Systeme nach Anhang III und ist auf den produktbezogenen Weg nicht anwendbar.</w:t>
      </w:r>
    </w:p>
    <w:p w14:paraId="2CF384A1" w14:textId="77777777" w:rsidR="006D4FF4" w:rsidRDefault="00000000">
      <w:pPr>
        <w:keepNext/>
        <w:spacing w:before="200" w:after="80"/>
      </w:pPr>
      <w:r>
        <w:rPr>
          <w:b/>
          <w:bCs/>
          <w:color w:val="1A5FB4"/>
        </w:rPr>
        <w:lastRenderedPageBreak/>
        <w:t xml:space="preserve">Frage 8:  </w:t>
      </w:r>
      <w:r>
        <w:rPr>
          <w:b/>
          <w:bCs/>
        </w:rPr>
        <w:t>Welche Risikoklasse ergibt sich als Ergebnis, und ab welchem Zeitpunkt gelten die Pflichten?</w:t>
      </w:r>
    </w:p>
    <w:p w14:paraId="1533E68A" w14:textId="77777777" w:rsidR="006D4FF4" w:rsidRDefault="00000000">
      <w:pPr>
        <w:spacing w:after="100"/>
      </w:pPr>
      <w:r>
        <w:t>Hochrisiko-KI-System nach Art. 6 Abs. 1 i. V. m. Anhang I KI-VO. Die Anforderungen gelten nach der Änderungsverordnung (EU) 2026/1744 erst ab dem 2. August 2028.</w:t>
      </w:r>
    </w:p>
    <w:p w14:paraId="031FEBA4" w14:textId="77777777" w:rsidR="006D4FF4" w:rsidRDefault="00000000">
      <w:pPr>
        <w:keepNext/>
        <w:spacing w:before="200" w:after="80"/>
      </w:pPr>
      <w:r>
        <w:rPr>
          <w:b/>
          <w:bCs/>
          <w:color w:val="1A5FB4"/>
        </w:rPr>
        <w:t xml:space="preserve">Frage 9:  </w:t>
      </w:r>
      <w:r>
        <w:rPr>
          <w:b/>
          <w:bCs/>
        </w:rPr>
        <w:t>Welche konkreten Maßnahmen und Pflichten treffen die Behörde (insbesondere Art. 26, 27, 49, 86 KI-VO bzw. Anbieterpflichten)? Wer ist in Ihrem Haus jeweils zuständig?</w:t>
      </w:r>
    </w:p>
    <w:p w14:paraId="7A9FAC32" w14:textId="77777777" w:rsidR="006D4FF4" w:rsidRPr="005F785E" w:rsidRDefault="00000000">
      <w:pPr>
        <w:spacing w:after="100"/>
        <w:rPr>
          <w:color w:val="000000" w:themeColor="text1"/>
        </w:rPr>
      </w:pPr>
      <w:r w:rsidRPr="005F785E">
        <w:rPr>
          <w:color w:val="000000" w:themeColor="text1"/>
        </w:rPr>
        <w:t>Der Schwerpunkt der Pflichten liegt beim Hersteller (Konformitätsbewertung, technische Dokumentation, CE-Kennzeichnung). Die Stadt trifft als Betreiberin ab dem maßgeblichen Geltungsbeginn Art. 26 KI-VO: Nutzung nach Betriebsanleitung, menschliche Aufsicht durch das Gebäudemanagement, Überwachung und Meldung schwerwiegender Vorfälle sowie Aufbewahrung der Protokolle. Art. 49 Abs. 3 begründet für die Stadt keine Registrierungspflicht, weil diese Vorschrift nur Hochrisiko-Systeme nach Anhang III erfasst. Art. 27 gilt ebenfalls nur für Anhang III und ist hier nicht einschlägig. Praktisch entscheidend: Die Anforderungen gehören in den Wartungsvertrag.</w:t>
      </w:r>
    </w:p>
    <w:p w14:paraId="5A9DEE27" w14:textId="77777777" w:rsidR="006D4FF4" w:rsidRDefault="00000000">
      <w:pPr>
        <w:keepNext/>
        <w:spacing w:before="200" w:after="80"/>
      </w:pPr>
      <w:r>
        <w:rPr>
          <w:b/>
          <w:bCs/>
          <w:color w:val="1A5FB4"/>
        </w:rPr>
        <w:t xml:space="preserve">Frage 10:  </w:t>
      </w:r>
      <w:r>
        <w:rPr>
          <w:b/>
          <w:bCs/>
        </w:rPr>
        <w:t>Welche Transparenzpflichten nach Art. 50 KI-VO und welche flankierenden Prüfungen (Datenschutz, Personalvertretung, Verwaltungsverfahren, IT-Sicherheit, Vergabe, Geheimnisschutz) sind zu veranlassen?</w:t>
      </w:r>
    </w:p>
    <w:p w14:paraId="77C645D3" w14:textId="77777777" w:rsidR="006D4FF4" w:rsidRDefault="00000000">
      <w:pPr>
        <w:spacing w:after="100"/>
      </w:pPr>
      <w:r>
        <w:t>Art. 50 KI-VO nicht einschlägig. Flankierend: Betriebssicherheitsverordnung, Prüfpflichten durch zugelassene Überwachungsstellen, Arbeitsschutz, Vergabe- und Vertragsgestaltung (Zugriff auf Protokolle, Meldewege, Verantwortlichkeit bei Fehlfunktion), Gebäudeversicherung.</w:t>
      </w:r>
    </w:p>
    <w:p w14:paraId="0C71B2EE" w14:textId="77777777" w:rsidR="006D4FF4" w:rsidRDefault="00000000">
      <w:pPr>
        <w:pStyle w:val="berschrift2"/>
        <w:keepNext/>
        <w:spacing w:before="280" w:after="140"/>
      </w:pPr>
      <w:bookmarkStart w:id="16" w:name="_Toc240325003"/>
      <w:r>
        <w:rPr>
          <w:b/>
          <w:bCs/>
          <w:color w:val="1A5FB4"/>
          <w:sz w:val="25"/>
          <w:szCs w:val="25"/>
        </w:rPr>
        <w:t>Stolpersteine und Diskussionsimpulse</w:t>
      </w:r>
      <w:bookmarkEnd w:id="16"/>
    </w:p>
    <w:p w14:paraId="00EA10EF" w14:textId="77777777" w:rsidR="006D4FF4" w:rsidRDefault="00000000">
      <w:pPr>
        <w:pStyle w:val="Listenabsatz"/>
        <w:numPr>
          <w:ilvl w:val="0"/>
          <w:numId w:val="2"/>
        </w:numPr>
        <w:spacing w:after="60"/>
      </w:pPr>
      <w:r>
        <w:t>Anhang I und Anhang III werden verwechselt. Merkhilfe: Anhang I fragt nach dem Produkt, Anhang III nach dem Anwendungsfeld.</w:t>
      </w:r>
    </w:p>
    <w:p w14:paraId="2E984457" w14:textId="77777777" w:rsidR="006D4FF4" w:rsidRDefault="00000000">
      <w:pPr>
        <w:pStyle w:val="Listenabsatz"/>
        <w:numPr>
          <w:ilvl w:val="0"/>
          <w:numId w:val="2"/>
        </w:numPr>
        <w:spacing w:after="60"/>
      </w:pPr>
      <w:r>
        <w:t>Die Ausnahme des Art. 6 Abs. 3 KI-VO wird fälschlich auch auf Anhang-I-Fälle angewendet.</w:t>
      </w:r>
    </w:p>
    <w:p w14:paraId="22829B32" w14:textId="77777777" w:rsidR="006D4FF4" w:rsidRDefault="00000000">
      <w:pPr>
        <w:pStyle w:val="Listenabsatz"/>
        <w:numPr>
          <w:ilvl w:val="0"/>
          <w:numId w:val="2"/>
        </w:numPr>
        <w:spacing w:after="60"/>
      </w:pPr>
      <w:r>
        <w:t>Die späte Frist 2028 führt zur Fehleinschätzung "brauchen wir nicht". Der Wartungsvertrag läuft aber über die Frist hinaus.</w:t>
      </w:r>
    </w:p>
    <w:p w14:paraId="07888720" w14:textId="77777777" w:rsidR="006D4FF4" w:rsidRDefault="00000000">
      <w:pPr>
        <w:pBdr>
          <w:top w:val="single" w:sz="6" w:space="0" w:color="1A5FB4"/>
          <w:left w:val="single" w:sz="18" w:space="0" w:color="1A5FB4"/>
          <w:bottom w:val="single" w:sz="6" w:space="0" w:color="1A5FB4"/>
          <w:right w:val="single" w:sz="6" w:space="0" w:color="1A5FB4"/>
        </w:pBdr>
        <w:shd w:val="clear" w:color="auto" w:fill="EAF1FB"/>
        <w:spacing w:before="160"/>
      </w:pPr>
      <w:r>
        <w:rPr>
          <w:b/>
          <w:bCs/>
          <w:color w:val="0B3B7A"/>
        </w:rPr>
        <w:t>Ergebnis in einem Satz</w:t>
      </w:r>
    </w:p>
    <w:p w14:paraId="1BB48A11" w14:textId="77777777" w:rsidR="006D4FF4" w:rsidRDefault="00000000">
      <w:pPr>
        <w:pBdr>
          <w:left w:val="single" w:sz="18" w:space="0" w:color="1A5FB4"/>
          <w:bottom w:val="single" w:sz="6" w:space="0" w:color="1A5FB4"/>
          <w:right w:val="single" w:sz="6" w:space="0" w:color="1A5FB4"/>
        </w:pBdr>
        <w:shd w:val="clear" w:color="auto" w:fill="EAF1FB"/>
        <w:spacing w:after="160"/>
      </w:pPr>
      <w:r>
        <w:rPr>
          <w:color w:val="0B3B7A"/>
          <w:sz w:val="20"/>
          <w:szCs w:val="20"/>
        </w:rPr>
        <w:t>Hochrisiko nach Art. 6 Abs. 1 i. V. m. Anhang I KI-VO; Herstellerpflichten im Vordergrund, Betreiberpflichten nach Art. 26 KI-VO ab 2028.</w:t>
      </w:r>
    </w:p>
    <w:p w14:paraId="7821692E" w14:textId="77777777" w:rsidR="006D4FF4" w:rsidRDefault="00000000">
      <w:r>
        <w:br w:type="page"/>
      </w:r>
    </w:p>
    <w:p w14:paraId="34CCF858" w14:textId="77777777" w:rsidR="006D4FF4" w:rsidRDefault="00000000">
      <w:pPr>
        <w:pStyle w:val="berschrift1"/>
        <w:keepNext/>
        <w:spacing w:before="360" w:after="180"/>
      </w:pPr>
      <w:bookmarkStart w:id="17" w:name="_Toc240325004"/>
      <w:r>
        <w:rPr>
          <w:b/>
          <w:bCs/>
          <w:color w:val="1A5FB4"/>
          <w:sz w:val="30"/>
          <w:szCs w:val="30"/>
        </w:rPr>
        <w:lastRenderedPageBreak/>
        <w:t>Prüffall 5 – Vollständigkeitsprüfung von Wohngeldanträgen</w:t>
      </w:r>
      <w:bookmarkEnd w:id="17"/>
    </w:p>
    <w:tbl>
      <w:tblPr>
        <w:tblW w:w="9638"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2200"/>
        <w:gridCol w:w="7438"/>
      </w:tblGrid>
      <w:tr w:rsidR="006D4FF4" w14:paraId="354090AD" w14:textId="77777777">
        <w:tblPrEx>
          <w:tblCellMar>
            <w:top w:w="0" w:type="dxa"/>
            <w:bottom w:w="0" w:type="dxa"/>
          </w:tblCellMar>
        </w:tblPrEx>
        <w:trPr>
          <w:tblHeader/>
        </w:trPr>
        <w:tc>
          <w:tcPr>
            <w:tcW w:w="2200" w:type="dxa"/>
            <w:shd w:val="clear" w:color="auto" w:fill="1A5FB4"/>
            <w:tcMar>
              <w:top w:w="60" w:type="dxa"/>
              <w:left w:w="100" w:type="dxa"/>
              <w:bottom w:w="60" w:type="dxa"/>
              <w:right w:w="100" w:type="dxa"/>
            </w:tcMar>
          </w:tcPr>
          <w:p w14:paraId="366015F8" w14:textId="77777777" w:rsidR="006D4FF4" w:rsidRDefault="00000000">
            <w:pPr>
              <w:spacing w:before="40" w:after="40" w:line="252" w:lineRule="auto"/>
            </w:pPr>
            <w:r>
              <w:rPr>
                <w:b/>
                <w:bCs/>
                <w:color w:val="FFFFFF"/>
                <w:sz w:val="19"/>
                <w:szCs w:val="19"/>
              </w:rPr>
              <w:t>Merkmal</w:t>
            </w:r>
          </w:p>
        </w:tc>
        <w:tc>
          <w:tcPr>
            <w:tcW w:w="7438" w:type="dxa"/>
            <w:shd w:val="clear" w:color="auto" w:fill="1A5FB4"/>
            <w:tcMar>
              <w:top w:w="60" w:type="dxa"/>
              <w:left w:w="100" w:type="dxa"/>
              <w:bottom w:w="60" w:type="dxa"/>
              <w:right w:w="100" w:type="dxa"/>
            </w:tcMar>
          </w:tcPr>
          <w:p w14:paraId="1F37A84F" w14:textId="77777777" w:rsidR="006D4FF4" w:rsidRDefault="00000000">
            <w:pPr>
              <w:spacing w:before="40" w:after="40" w:line="252" w:lineRule="auto"/>
            </w:pPr>
            <w:r>
              <w:rPr>
                <w:b/>
                <w:bCs/>
                <w:color w:val="FFFFFF"/>
                <w:sz w:val="19"/>
                <w:szCs w:val="19"/>
              </w:rPr>
              <w:t>Angabe</w:t>
            </w:r>
          </w:p>
        </w:tc>
      </w:tr>
      <w:tr w:rsidR="006D4FF4" w14:paraId="27C3FA6D" w14:textId="77777777">
        <w:tblPrEx>
          <w:tblCellMar>
            <w:top w:w="0" w:type="dxa"/>
            <w:bottom w:w="0" w:type="dxa"/>
          </w:tblCellMar>
        </w:tblPrEx>
        <w:tc>
          <w:tcPr>
            <w:tcW w:w="2200" w:type="dxa"/>
            <w:tcMar>
              <w:top w:w="60" w:type="dxa"/>
              <w:left w:w="100" w:type="dxa"/>
              <w:bottom w:w="60" w:type="dxa"/>
              <w:right w:w="100" w:type="dxa"/>
            </w:tcMar>
          </w:tcPr>
          <w:p w14:paraId="08FB1C9C" w14:textId="77777777" w:rsidR="006D4FF4" w:rsidRDefault="00000000">
            <w:pPr>
              <w:spacing w:before="40" w:after="40" w:line="252" w:lineRule="auto"/>
            </w:pPr>
            <w:r>
              <w:rPr>
                <w:sz w:val="19"/>
                <w:szCs w:val="19"/>
              </w:rPr>
              <w:t>Schwerpunkt</w:t>
            </w:r>
          </w:p>
        </w:tc>
        <w:tc>
          <w:tcPr>
            <w:tcW w:w="7438" w:type="dxa"/>
            <w:tcMar>
              <w:top w:w="60" w:type="dxa"/>
              <w:left w:w="100" w:type="dxa"/>
              <w:bottom w:w="60" w:type="dxa"/>
              <w:right w:w="100" w:type="dxa"/>
            </w:tcMar>
          </w:tcPr>
          <w:p w14:paraId="24854565" w14:textId="77777777" w:rsidR="006D4FF4" w:rsidRDefault="00000000">
            <w:pPr>
              <w:spacing w:before="40" w:after="40" w:line="252" w:lineRule="auto"/>
            </w:pPr>
            <w:r>
              <w:rPr>
                <w:sz w:val="19"/>
                <w:szCs w:val="19"/>
              </w:rPr>
              <w:t>Anhang III mit Ausnahme nach Art. 6 Abs. 3</w:t>
            </w:r>
          </w:p>
        </w:tc>
      </w:tr>
      <w:tr w:rsidR="006D4FF4" w14:paraId="05A7DB8E" w14:textId="77777777">
        <w:tblPrEx>
          <w:tblCellMar>
            <w:top w:w="0" w:type="dxa"/>
            <w:bottom w:w="0" w:type="dxa"/>
          </w:tblCellMar>
        </w:tblPrEx>
        <w:tc>
          <w:tcPr>
            <w:tcW w:w="2200" w:type="dxa"/>
            <w:shd w:val="clear" w:color="auto" w:fill="FAFAFA"/>
            <w:tcMar>
              <w:top w:w="60" w:type="dxa"/>
              <w:left w:w="100" w:type="dxa"/>
              <w:bottom w:w="60" w:type="dxa"/>
              <w:right w:w="100" w:type="dxa"/>
            </w:tcMar>
          </w:tcPr>
          <w:p w14:paraId="246AED0F" w14:textId="77777777" w:rsidR="006D4FF4" w:rsidRDefault="00000000">
            <w:pPr>
              <w:spacing w:before="40" w:after="40" w:line="252" w:lineRule="auto"/>
            </w:pPr>
            <w:r>
              <w:rPr>
                <w:sz w:val="19"/>
                <w:szCs w:val="19"/>
              </w:rPr>
              <w:t>Lernziel</w:t>
            </w:r>
          </w:p>
        </w:tc>
        <w:tc>
          <w:tcPr>
            <w:tcW w:w="7438" w:type="dxa"/>
            <w:shd w:val="clear" w:color="auto" w:fill="FAFAFA"/>
            <w:tcMar>
              <w:top w:w="60" w:type="dxa"/>
              <w:left w:w="100" w:type="dxa"/>
              <w:bottom w:w="60" w:type="dxa"/>
              <w:right w:w="100" w:type="dxa"/>
            </w:tcMar>
          </w:tcPr>
          <w:p w14:paraId="35151A89" w14:textId="77777777" w:rsidR="006D4FF4" w:rsidRDefault="00000000">
            <w:pPr>
              <w:spacing w:before="40" w:after="40" w:line="252" w:lineRule="auto"/>
            </w:pPr>
            <w:r>
              <w:rPr>
                <w:sz w:val="19"/>
                <w:szCs w:val="19"/>
              </w:rPr>
              <w:t>Die Ausnahme des Art. 6 Abs. 3 KI-VO sauber begründen und ihre Folgepflichten benennen.</w:t>
            </w:r>
          </w:p>
        </w:tc>
      </w:tr>
      <w:tr w:rsidR="006D4FF4" w14:paraId="26F37324" w14:textId="77777777">
        <w:tblPrEx>
          <w:tblCellMar>
            <w:top w:w="0" w:type="dxa"/>
            <w:bottom w:w="0" w:type="dxa"/>
          </w:tblCellMar>
        </w:tblPrEx>
        <w:tc>
          <w:tcPr>
            <w:tcW w:w="2200" w:type="dxa"/>
            <w:tcMar>
              <w:top w:w="60" w:type="dxa"/>
              <w:left w:w="100" w:type="dxa"/>
              <w:bottom w:w="60" w:type="dxa"/>
              <w:right w:w="100" w:type="dxa"/>
            </w:tcMar>
          </w:tcPr>
          <w:p w14:paraId="139E8BA3" w14:textId="77777777" w:rsidR="006D4FF4" w:rsidRDefault="00000000">
            <w:pPr>
              <w:spacing w:before="40" w:after="40" w:line="252" w:lineRule="auto"/>
            </w:pPr>
            <w:r>
              <w:rPr>
                <w:sz w:val="19"/>
                <w:szCs w:val="19"/>
              </w:rPr>
              <w:t>Ergebnis</w:t>
            </w:r>
          </w:p>
        </w:tc>
        <w:tc>
          <w:tcPr>
            <w:tcW w:w="7438" w:type="dxa"/>
            <w:tcMar>
              <w:top w:w="60" w:type="dxa"/>
              <w:left w:w="100" w:type="dxa"/>
              <w:bottom w:w="60" w:type="dxa"/>
              <w:right w:w="100" w:type="dxa"/>
            </w:tcMar>
          </w:tcPr>
          <w:p w14:paraId="445FB6C5" w14:textId="77777777" w:rsidR="006D4FF4" w:rsidRDefault="00000000">
            <w:pPr>
              <w:spacing w:before="40" w:after="40" w:line="252" w:lineRule="auto"/>
            </w:pPr>
            <w:r>
              <w:rPr>
                <w:sz w:val="19"/>
                <w:szCs w:val="19"/>
              </w:rPr>
              <w:t xml:space="preserve">Anhang III Nr. 5 </w:t>
            </w:r>
            <w:proofErr w:type="spellStart"/>
            <w:r>
              <w:rPr>
                <w:sz w:val="19"/>
                <w:szCs w:val="19"/>
              </w:rPr>
              <w:t>lit</w:t>
            </w:r>
            <w:proofErr w:type="spellEnd"/>
            <w:r>
              <w:rPr>
                <w:sz w:val="19"/>
                <w:szCs w:val="19"/>
              </w:rPr>
              <w:t>. a eröffnet, Ausnahme nach Art. 6 Abs. 3 KI-VO greift; Dokumentation nach Art. 6 Abs. 4 und Registrierung nach Art. 49 Abs. 2 KI-VO bleiben.</w:t>
            </w:r>
          </w:p>
        </w:tc>
      </w:tr>
    </w:tbl>
    <w:p w14:paraId="6495022B" w14:textId="77777777" w:rsidR="006D4FF4" w:rsidRDefault="006D4FF4">
      <w:pPr>
        <w:spacing w:after="140"/>
      </w:pPr>
    </w:p>
    <w:p w14:paraId="74B3D26A" w14:textId="77777777" w:rsidR="006D4FF4" w:rsidRDefault="00000000">
      <w:pPr>
        <w:pStyle w:val="berschrift2"/>
        <w:keepNext/>
        <w:spacing w:before="280" w:after="140"/>
      </w:pPr>
      <w:bookmarkStart w:id="18" w:name="_Toc240325005"/>
      <w:r>
        <w:rPr>
          <w:b/>
          <w:bCs/>
          <w:color w:val="1A5FB4"/>
          <w:sz w:val="25"/>
          <w:szCs w:val="25"/>
        </w:rPr>
        <w:t>Musterlösung</w:t>
      </w:r>
      <w:bookmarkEnd w:id="18"/>
    </w:p>
    <w:p w14:paraId="319C3388" w14:textId="77777777" w:rsidR="006D4FF4" w:rsidRDefault="00000000">
      <w:pPr>
        <w:keepNext/>
        <w:spacing w:before="200" w:after="80"/>
      </w:pPr>
      <w:r>
        <w:rPr>
          <w:b/>
          <w:bCs/>
          <w:color w:val="1A5FB4"/>
        </w:rPr>
        <w:t xml:space="preserve">Frage 1:  </w:t>
      </w:r>
      <w:r>
        <w:rPr>
          <w:b/>
          <w:bCs/>
        </w:rPr>
        <w:t>Liegt ein KI-System im Sinne des Art. 3 Nr. 1 KI-VO vor? Begründen Sie anhand der einzelnen Begriffsmerkmale.</w:t>
      </w:r>
    </w:p>
    <w:p w14:paraId="5071A805" w14:textId="77777777" w:rsidR="006D4FF4" w:rsidRDefault="00000000">
      <w:pPr>
        <w:spacing w:after="100"/>
      </w:pPr>
      <w:r>
        <w:t>Ja. Das System leitet aus den eingereichten Dokumenten ab, welche Unterlagen fehlen, und erzeugt daraus eine Ausgabe. Autonomiegrad und Ableitungsfähigkeit sind gegeben.</w:t>
      </w:r>
    </w:p>
    <w:p w14:paraId="3347A9D3" w14:textId="77777777" w:rsidR="006D4FF4" w:rsidRDefault="00000000">
      <w:pPr>
        <w:keepNext/>
        <w:spacing w:before="200" w:after="80"/>
      </w:pPr>
      <w:r>
        <w:rPr>
          <w:b/>
          <w:bCs/>
          <w:color w:val="1A5FB4"/>
        </w:rPr>
        <w:t xml:space="preserve">Frage 2:  </w:t>
      </w:r>
      <w:r>
        <w:rPr>
          <w:b/>
          <w:bCs/>
        </w:rPr>
        <w:t>Ist der Anwendungsbereich der KI-VO eröffnet oder greift eine Bereichsausnahme (Art. 2, Art. 111 Abs. 2 KI-VO)?</w:t>
      </w:r>
    </w:p>
    <w:p w14:paraId="5F4ACD9B" w14:textId="77777777" w:rsidR="006D4FF4" w:rsidRDefault="00000000">
      <w:pPr>
        <w:spacing w:after="100"/>
      </w:pPr>
      <w:r>
        <w:t>Ja, eröffnet. Keine Bereichsausnahme.</w:t>
      </w:r>
    </w:p>
    <w:p w14:paraId="53BE97DD" w14:textId="77777777" w:rsidR="006D4FF4" w:rsidRDefault="00000000">
      <w:pPr>
        <w:keepNext/>
        <w:spacing w:before="200" w:after="80"/>
      </w:pPr>
      <w:r>
        <w:rPr>
          <w:b/>
          <w:bCs/>
          <w:color w:val="1A5FB4"/>
        </w:rPr>
        <w:t xml:space="preserve">Frage 3:  </w:t>
      </w:r>
      <w:r>
        <w:rPr>
          <w:b/>
          <w:bCs/>
        </w:rPr>
        <w:t>In welcher Rolle handelt die Behörde (Art. 3 Nr. 3, Nr. 4 KI-VO)? Kommt ein Rollenwechsel zum Anbieter nach Art. 25 KI-VO in Betracht?</w:t>
      </w:r>
    </w:p>
    <w:p w14:paraId="51D4C9FB" w14:textId="77777777" w:rsidR="006D4FF4" w:rsidRDefault="00000000">
      <w:pPr>
        <w:spacing w:after="100"/>
      </w:pPr>
      <w:r>
        <w:t>Die Stadt ist Betreiberin. Ein Rollenwechsel nach Art. 25 KI-VO liegt nicht vor. Würde das Modul "Priorisierung" gebucht, wäre erneut zu prüfen – es käme einer Zweckänderung mit möglicher Hochrisiko-Folge nahe.</w:t>
      </w:r>
    </w:p>
    <w:p w14:paraId="6B559413" w14:textId="77777777" w:rsidR="006D4FF4" w:rsidRDefault="00000000">
      <w:pPr>
        <w:keepNext/>
        <w:spacing w:before="200" w:after="80"/>
      </w:pPr>
      <w:r>
        <w:rPr>
          <w:b/>
          <w:bCs/>
          <w:color w:val="1A5FB4"/>
        </w:rPr>
        <w:t xml:space="preserve">Frage 4:  </w:t>
      </w:r>
      <w:r>
        <w:rPr>
          <w:b/>
          <w:bCs/>
        </w:rPr>
        <w:t>Wie lautet die Zweckbestimmung (Art. 3 Nr. 12 KI-VO), und weicht die tatsächlich beabsichtigte Verwendung davon ab?</w:t>
      </w:r>
    </w:p>
    <w:p w14:paraId="4D1E7A56" w14:textId="77777777" w:rsidR="006D4FF4" w:rsidRDefault="00000000">
      <w:pPr>
        <w:spacing w:after="100"/>
      </w:pPr>
      <w:r>
        <w:t>Zweckbestimmung: Vollständigkeitsprüfung und Dokumentenzuordnung im Antragsverfahren. Die beabsichtigte Verwendung deckt sich damit. Wichtig ist die Feststellung der Entscheidungstiefe: Es wird keine Aussage über den Anspruch getroffen.</w:t>
      </w:r>
    </w:p>
    <w:p w14:paraId="25482291" w14:textId="77777777" w:rsidR="006D4FF4" w:rsidRDefault="00000000">
      <w:pPr>
        <w:keepNext/>
        <w:spacing w:before="200" w:after="80"/>
      </w:pPr>
      <w:r>
        <w:rPr>
          <w:b/>
          <w:bCs/>
          <w:color w:val="1A5FB4"/>
        </w:rPr>
        <w:t xml:space="preserve">Frage 5:  </w:t>
      </w:r>
      <w:r>
        <w:rPr>
          <w:b/>
          <w:bCs/>
        </w:rPr>
        <w:t>Liegt eine verbotene Praktik nach Art. 5 KI-VO vor? Welcher Buchstabe kommt in Betracht, und welche Abgrenzung ist zu treffen?</w:t>
      </w:r>
    </w:p>
    <w:p w14:paraId="5B62C8AD" w14:textId="77777777" w:rsidR="006D4FF4" w:rsidRDefault="00000000">
      <w:pPr>
        <w:spacing w:after="100"/>
      </w:pPr>
      <w:r>
        <w:t>Nein. Insbesondere kein Social Scoring – es findet keine Bewertung der Person, sondern eine Prüfung der Unterlagen statt.</w:t>
      </w:r>
    </w:p>
    <w:p w14:paraId="77B970EE" w14:textId="77777777" w:rsidR="006D4FF4" w:rsidRDefault="00000000">
      <w:pPr>
        <w:keepNext/>
        <w:spacing w:before="200" w:after="80"/>
      </w:pPr>
      <w:r>
        <w:rPr>
          <w:b/>
          <w:bCs/>
          <w:color w:val="1A5FB4"/>
        </w:rPr>
        <w:t xml:space="preserve">Frage 6:  </w:t>
      </w:r>
      <w:r>
        <w:rPr>
          <w:b/>
          <w:bCs/>
        </w:rPr>
        <w:t>Liegt ein Hochrisiko-Fall nach Art. 6 Abs. 1 i. V. m. Anhang I oder nach Art. 6 Abs. 2 i. V. m. Anhang III vor? Benennen Sie den konkreten Tatbestand.</w:t>
      </w:r>
    </w:p>
    <w:p w14:paraId="202E63BB" w14:textId="77777777" w:rsidR="006D4FF4" w:rsidRDefault="00000000">
      <w:pPr>
        <w:spacing w:after="100"/>
      </w:pPr>
      <w:r>
        <w:t xml:space="preserve">Der Anwendungsbereich des Anhangs III Nr. 5 </w:t>
      </w:r>
      <w:proofErr w:type="spellStart"/>
      <w:r>
        <w:t>lit</w:t>
      </w:r>
      <w:proofErr w:type="spellEnd"/>
      <w:r>
        <w:t>. a KI-VO (Anspruchsprüfung bei öffentlichen Unterstützungsleistungen) ist zunächst eröffnet, weil das System im Verfahren zur Gewährung einer Sozialleistung eingesetzt wird. Anhang I ist nicht einschlägig.</w:t>
      </w:r>
    </w:p>
    <w:p w14:paraId="2EB4CDC8" w14:textId="77777777" w:rsidR="006D4FF4" w:rsidRDefault="00000000">
      <w:pPr>
        <w:keepNext/>
        <w:spacing w:before="200" w:after="80"/>
      </w:pPr>
      <w:r>
        <w:rPr>
          <w:b/>
          <w:bCs/>
          <w:color w:val="1A5FB4"/>
        </w:rPr>
        <w:t xml:space="preserve">Frage 7:  </w:t>
      </w:r>
      <w:r>
        <w:rPr>
          <w:b/>
          <w:bCs/>
        </w:rPr>
        <w:t>Greift die Ausnahme des Art. 6 Abs. 3 KI-VO? Welche Folgepflichten bestehen auch dann (Art. 6 Abs. 4, Art. 49 Abs. 2 KI-VO)?</w:t>
      </w:r>
    </w:p>
    <w:p w14:paraId="69474B1E" w14:textId="77777777" w:rsidR="006D4FF4" w:rsidRDefault="00000000">
      <w:pPr>
        <w:spacing w:after="100"/>
      </w:pPr>
      <w:r>
        <w:t xml:space="preserve">Ja, die Ausnahme greift. Das System erfüllt eine eng gefasste Verfahrensaufgabe (Art. 6 Abs. 3 </w:t>
      </w:r>
      <w:proofErr w:type="spellStart"/>
      <w:r>
        <w:t>UAbs</w:t>
      </w:r>
      <w:proofErr w:type="spellEnd"/>
      <w:r>
        <w:t xml:space="preserve">. 1 </w:t>
      </w:r>
      <w:proofErr w:type="spellStart"/>
      <w:r>
        <w:t>lit</w:t>
      </w:r>
      <w:proofErr w:type="spellEnd"/>
      <w:r>
        <w:t>. a KI-VO) und zugleich eine vorbereitende Aufgabe für die eigentliche Bewertung (</w:t>
      </w:r>
      <w:proofErr w:type="spellStart"/>
      <w:r>
        <w:t>lit</w:t>
      </w:r>
      <w:proofErr w:type="spellEnd"/>
      <w:r>
        <w:t xml:space="preserve">. d). Es ersetzt die menschliche Bewertung nicht und beeinflusst sie nicht ohne Überprüfung. Ein Profiling natürlicher Personen findet nicht statt, sodass der Ausschlussgrund nicht eingreift. Folgepflichten gleichwohl: Die </w:t>
      </w:r>
      <w:r>
        <w:lastRenderedPageBreak/>
        <w:t>Bewertung ist vor der Inbetriebnahme zu dokumentieren (Art. 6 Abs. 4 KI-VO), auf Verlangen der Marktüberwachungsbehörde vorzulegen, und das System ist nach Art. 49 Abs. 2 KI-VO zu registrieren.</w:t>
      </w:r>
    </w:p>
    <w:p w14:paraId="6F19B974" w14:textId="77777777" w:rsidR="006D4FF4" w:rsidRDefault="00000000">
      <w:pPr>
        <w:keepNext/>
        <w:spacing w:before="200" w:after="80"/>
      </w:pPr>
      <w:r>
        <w:rPr>
          <w:b/>
          <w:bCs/>
          <w:color w:val="1A5FB4"/>
        </w:rPr>
        <w:t xml:space="preserve">Frage 8:  </w:t>
      </w:r>
      <w:r>
        <w:rPr>
          <w:b/>
          <w:bCs/>
        </w:rPr>
        <w:t>Welche Risikoklasse ergibt sich als Ergebnis, und ab welchem Zeitpunkt gelten die Pflichten?</w:t>
      </w:r>
    </w:p>
    <w:p w14:paraId="48EC8523" w14:textId="77777777" w:rsidR="006D4FF4" w:rsidRDefault="00000000">
      <w:pPr>
        <w:spacing w:after="100"/>
      </w:pPr>
      <w:r>
        <w:t>Im Ergebnis kein Hochrisiko-System, sondern ein System mit dokumentierter Ausnahme nach Art. 6 Abs. 3 KI-VO. Die Dokumentations- und Registrierungspflichten folgen der Zeitschiene des Anhang-III-Regimes (2. Dezember 2027).</w:t>
      </w:r>
    </w:p>
    <w:p w14:paraId="34BC5C11" w14:textId="77777777" w:rsidR="006D4FF4" w:rsidRDefault="00000000">
      <w:pPr>
        <w:keepNext/>
        <w:spacing w:before="200" w:after="80"/>
      </w:pPr>
      <w:r>
        <w:rPr>
          <w:b/>
          <w:bCs/>
          <w:color w:val="1A5FB4"/>
        </w:rPr>
        <w:t xml:space="preserve">Frage 9:  </w:t>
      </w:r>
      <w:r>
        <w:rPr>
          <w:b/>
          <w:bCs/>
        </w:rPr>
        <w:t>Welche konkreten Maßnahmen und Pflichten treffen die Behörde (insbesondere Art. 26, 27, 49, 86 KI-VO bzw. Anbieterpflichten)? Wer ist in Ihrem Haus jeweils zuständig?</w:t>
      </w:r>
    </w:p>
    <w:p w14:paraId="3924D58A" w14:textId="77777777" w:rsidR="006D4FF4" w:rsidRDefault="00000000">
      <w:pPr>
        <w:spacing w:after="100"/>
      </w:pPr>
      <w:r>
        <w:t>Dokumentation der Ausnahmebewertung mit tragender Begründung; Registrierung nach Art. 49 Abs. 2 KI-VO; Festlegung, dass die Sachbearbeitung jeden Hinweis prüft (Dienstanweisung); Stichprobenkontrolle der Trefferqualität; Wiedervorlage bei jeder Funktionserweiterung. Art. 26 und Art. 27 KI-VO greifen mangels Hochrisiko-Einstufung nicht – die Grundrechte-Folgenabschätzung kann gleichwohl freiwillig als Nachweis geführt werden.</w:t>
      </w:r>
    </w:p>
    <w:p w14:paraId="5520CF0C" w14:textId="77777777" w:rsidR="006D4FF4" w:rsidRDefault="00000000">
      <w:pPr>
        <w:keepNext/>
        <w:spacing w:before="200" w:after="80"/>
      </w:pPr>
      <w:r>
        <w:rPr>
          <w:b/>
          <w:bCs/>
          <w:color w:val="1A5FB4"/>
        </w:rPr>
        <w:t xml:space="preserve">Frage 10:  </w:t>
      </w:r>
      <w:r>
        <w:rPr>
          <w:b/>
          <w:bCs/>
        </w:rPr>
        <w:t>Welche Transparenzpflichten nach Art. 50 KI-VO und welche flankierenden Prüfungen (Datenschutz, Personalvertretung, Verwaltungsverfahren, IT-Sicherheit, Vergabe, Geheimnisschutz) sind zu veranlassen?</w:t>
      </w:r>
    </w:p>
    <w:p w14:paraId="66B3D6E0" w14:textId="77777777" w:rsidR="006D4FF4" w:rsidRDefault="00000000">
      <w:pPr>
        <w:spacing w:after="100"/>
      </w:pPr>
      <w:r>
        <w:t>Art. 50 KI-VO ist nicht einschlägig, solange das System nicht unmittelbar mit den Antragstellenden kommuniziert. Flankierend: Rechtsgrundlage der Verarbeitung, Verzeichnis der Verarbeitungstätigkeiten, Auftragsverarbeitungsvertrag, Datenschutz-Folgenabschätzung nach Art. 35 DSGVO prüfen, Sozialgeheimnis, Aktenführung und Nachvollziehbarkeit der Nachforderung im Verwaltungsverfahren.</w:t>
      </w:r>
    </w:p>
    <w:p w14:paraId="1C472F36" w14:textId="77777777" w:rsidR="006D4FF4" w:rsidRDefault="00000000">
      <w:pPr>
        <w:pStyle w:val="berschrift2"/>
        <w:keepNext/>
        <w:spacing w:before="280" w:after="140"/>
      </w:pPr>
      <w:bookmarkStart w:id="19" w:name="_Toc240325006"/>
      <w:r>
        <w:rPr>
          <w:b/>
          <w:bCs/>
          <w:color w:val="1A5FB4"/>
          <w:sz w:val="25"/>
          <w:szCs w:val="25"/>
        </w:rPr>
        <w:t>Stolpersteine und Diskussionsimpulse</w:t>
      </w:r>
      <w:bookmarkEnd w:id="19"/>
    </w:p>
    <w:p w14:paraId="71EAEA4E" w14:textId="77777777" w:rsidR="006D4FF4" w:rsidRDefault="00000000">
      <w:pPr>
        <w:pStyle w:val="Listenabsatz"/>
        <w:numPr>
          <w:ilvl w:val="0"/>
          <w:numId w:val="2"/>
        </w:numPr>
        <w:spacing w:after="60"/>
      </w:pPr>
      <w:r>
        <w:t>Die Ausnahme wird häufig zu großzügig gehandhabt. Herausarbeiten: Sie verlangt eine dokumentierte Bewertung und die Registrierung – sie ist keine Freistellung.</w:t>
      </w:r>
    </w:p>
    <w:p w14:paraId="5C2B9B4F" w14:textId="77777777" w:rsidR="006D4FF4" w:rsidRDefault="00000000">
      <w:pPr>
        <w:pStyle w:val="Listenabsatz"/>
        <w:numPr>
          <w:ilvl w:val="0"/>
          <w:numId w:val="2"/>
        </w:numPr>
        <w:spacing w:after="60"/>
      </w:pPr>
      <w:r>
        <w:t>Gegenprobe im Kurs: Ab wann kippt der Fall? Antwort: sobald das System priorisiert, Anspruchsaussagen trifft oder einen Schwellenwert setzt.</w:t>
      </w:r>
    </w:p>
    <w:p w14:paraId="0FF211F9" w14:textId="77777777" w:rsidR="006D4FF4" w:rsidRDefault="00000000">
      <w:pPr>
        <w:pStyle w:val="Listenabsatz"/>
        <w:numPr>
          <w:ilvl w:val="0"/>
          <w:numId w:val="2"/>
        </w:numPr>
        <w:spacing w:after="60"/>
      </w:pPr>
      <w:r>
        <w:t>Der Unterschied zwischen "beeinflusst die Entscheidung nicht" und "wird in der Praxis übernommen" ist erneut der entscheidende Punkt.</w:t>
      </w:r>
    </w:p>
    <w:p w14:paraId="54A842FD" w14:textId="77777777" w:rsidR="006D4FF4" w:rsidRDefault="00000000">
      <w:pPr>
        <w:pBdr>
          <w:top w:val="single" w:sz="6" w:space="0" w:color="1A5FB4"/>
          <w:left w:val="single" w:sz="18" w:space="0" w:color="1A5FB4"/>
          <w:bottom w:val="single" w:sz="6" w:space="0" w:color="1A5FB4"/>
          <w:right w:val="single" w:sz="6" w:space="0" w:color="1A5FB4"/>
        </w:pBdr>
        <w:shd w:val="clear" w:color="auto" w:fill="EAF1FB"/>
        <w:spacing w:before="160"/>
      </w:pPr>
      <w:r>
        <w:rPr>
          <w:b/>
          <w:bCs/>
          <w:color w:val="0B3B7A"/>
        </w:rPr>
        <w:t>Ergebnis in einem Satz</w:t>
      </w:r>
    </w:p>
    <w:p w14:paraId="561ED354" w14:textId="77777777" w:rsidR="006D4FF4" w:rsidRDefault="00000000">
      <w:pPr>
        <w:pBdr>
          <w:left w:val="single" w:sz="18" w:space="0" w:color="1A5FB4"/>
          <w:bottom w:val="single" w:sz="6" w:space="0" w:color="1A5FB4"/>
          <w:right w:val="single" w:sz="6" w:space="0" w:color="1A5FB4"/>
        </w:pBdr>
        <w:shd w:val="clear" w:color="auto" w:fill="EAF1FB"/>
        <w:spacing w:after="160"/>
      </w:pPr>
      <w:r>
        <w:rPr>
          <w:color w:val="0B3B7A"/>
          <w:sz w:val="20"/>
          <w:szCs w:val="20"/>
        </w:rPr>
        <w:t xml:space="preserve">Anhang III Nr. 5 </w:t>
      </w:r>
      <w:proofErr w:type="spellStart"/>
      <w:r>
        <w:rPr>
          <w:color w:val="0B3B7A"/>
          <w:sz w:val="20"/>
          <w:szCs w:val="20"/>
        </w:rPr>
        <w:t>lit</w:t>
      </w:r>
      <w:proofErr w:type="spellEnd"/>
      <w:r>
        <w:rPr>
          <w:color w:val="0B3B7A"/>
          <w:sz w:val="20"/>
          <w:szCs w:val="20"/>
        </w:rPr>
        <w:t>. a eröffnet, Ausnahme nach Art. 6 Abs. 3 KI-VO greift; Dokumentation nach Art. 6 Abs. 4 und Registrierung nach Art. 49 Abs. 2 KI-VO bleiben.</w:t>
      </w:r>
    </w:p>
    <w:p w14:paraId="779E1B2C" w14:textId="77777777" w:rsidR="006D4FF4" w:rsidRDefault="00000000">
      <w:r>
        <w:br w:type="page"/>
      </w:r>
    </w:p>
    <w:p w14:paraId="07856923" w14:textId="77777777" w:rsidR="006D4FF4" w:rsidRDefault="00000000">
      <w:pPr>
        <w:pStyle w:val="berschrift1"/>
        <w:keepNext/>
        <w:spacing w:before="360" w:after="180"/>
      </w:pPr>
      <w:bookmarkStart w:id="20" w:name="_Toc240325007"/>
      <w:r>
        <w:rPr>
          <w:b/>
          <w:bCs/>
          <w:color w:val="1A5FB4"/>
          <w:sz w:val="30"/>
          <w:szCs w:val="30"/>
        </w:rPr>
        <w:lastRenderedPageBreak/>
        <w:t>Prüffall 6 – Der Bürger-Chatbot "</w:t>
      </w:r>
      <w:proofErr w:type="spellStart"/>
      <w:r>
        <w:rPr>
          <w:b/>
          <w:bCs/>
          <w:color w:val="1A5FB4"/>
          <w:sz w:val="30"/>
          <w:szCs w:val="30"/>
        </w:rPr>
        <w:t>Musti</w:t>
      </w:r>
      <w:proofErr w:type="spellEnd"/>
      <w:r>
        <w:rPr>
          <w:b/>
          <w:bCs/>
          <w:color w:val="1A5FB4"/>
          <w:sz w:val="30"/>
          <w:szCs w:val="30"/>
        </w:rPr>
        <w:t>"</w:t>
      </w:r>
      <w:bookmarkEnd w:id="20"/>
    </w:p>
    <w:tbl>
      <w:tblPr>
        <w:tblW w:w="9638"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2200"/>
        <w:gridCol w:w="7438"/>
      </w:tblGrid>
      <w:tr w:rsidR="006D4FF4" w14:paraId="44FC4EB3" w14:textId="77777777">
        <w:tblPrEx>
          <w:tblCellMar>
            <w:top w:w="0" w:type="dxa"/>
            <w:bottom w:w="0" w:type="dxa"/>
          </w:tblCellMar>
        </w:tblPrEx>
        <w:trPr>
          <w:tblHeader/>
        </w:trPr>
        <w:tc>
          <w:tcPr>
            <w:tcW w:w="2200" w:type="dxa"/>
            <w:shd w:val="clear" w:color="auto" w:fill="1A5FB4"/>
            <w:tcMar>
              <w:top w:w="60" w:type="dxa"/>
              <w:left w:w="100" w:type="dxa"/>
              <w:bottom w:w="60" w:type="dxa"/>
              <w:right w:w="100" w:type="dxa"/>
            </w:tcMar>
          </w:tcPr>
          <w:p w14:paraId="241F2AD3" w14:textId="77777777" w:rsidR="006D4FF4" w:rsidRDefault="00000000">
            <w:pPr>
              <w:spacing w:before="40" w:after="40" w:line="252" w:lineRule="auto"/>
            </w:pPr>
            <w:r>
              <w:rPr>
                <w:b/>
                <w:bCs/>
                <w:color w:val="FFFFFF"/>
                <w:sz w:val="19"/>
                <w:szCs w:val="19"/>
              </w:rPr>
              <w:t>Merkmal</w:t>
            </w:r>
          </w:p>
        </w:tc>
        <w:tc>
          <w:tcPr>
            <w:tcW w:w="7438" w:type="dxa"/>
            <w:shd w:val="clear" w:color="auto" w:fill="1A5FB4"/>
            <w:tcMar>
              <w:top w:w="60" w:type="dxa"/>
              <w:left w:w="100" w:type="dxa"/>
              <w:bottom w:w="60" w:type="dxa"/>
              <w:right w:w="100" w:type="dxa"/>
            </w:tcMar>
          </w:tcPr>
          <w:p w14:paraId="5ABAA297" w14:textId="77777777" w:rsidR="006D4FF4" w:rsidRDefault="00000000">
            <w:pPr>
              <w:spacing w:before="40" w:after="40" w:line="252" w:lineRule="auto"/>
            </w:pPr>
            <w:r>
              <w:rPr>
                <w:b/>
                <w:bCs/>
                <w:color w:val="FFFFFF"/>
                <w:sz w:val="19"/>
                <w:szCs w:val="19"/>
              </w:rPr>
              <w:t>Angabe</w:t>
            </w:r>
          </w:p>
        </w:tc>
      </w:tr>
      <w:tr w:rsidR="006D4FF4" w14:paraId="7022E2DA" w14:textId="77777777">
        <w:tblPrEx>
          <w:tblCellMar>
            <w:top w:w="0" w:type="dxa"/>
            <w:bottom w:w="0" w:type="dxa"/>
          </w:tblCellMar>
        </w:tblPrEx>
        <w:tc>
          <w:tcPr>
            <w:tcW w:w="2200" w:type="dxa"/>
            <w:tcMar>
              <w:top w:w="60" w:type="dxa"/>
              <w:left w:w="100" w:type="dxa"/>
              <w:bottom w:w="60" w:type="dxa"/>
              <w:right w:w="100" w:type="dxa"/>
            </w:tcMar>
          </w:tcPr>
          <w:p w14:paraId="1E640CAF" w14:textId="77777777" w:rsidR="006D4FF4" w:rsidRDefault="00000000">
            <w:pPr>
              <w:spacing w:before="40" w:after="40" w:line="252" w:lineRule="auto"/>
            </w:pPr>
            <w:r>
              <w:rPr>
                <w:sz w:val="19"/>
                <w:szCs w:val="19"/>
              </w:rPr>
              <w:t>Schwerpunkt</w:t>
            </w:r>
          </w:p>
        </w:tc>
        <w:tc>
          <w:tcPr>
            <w:tcW w:w="7438" w:type="dxa"/>
            <w:tcMar>
              <w:top w:w="60" w:type="dxa"/>
              <w:left w:w="100" w:type="dxa"/>
              <w:bottom w:w="60" w:type="dxa"/>
              <w:right w:w="100" w:type="dxa"/>
            </w:tcMar>
          </w:tcPr>
          <w:p w14:paraId="7F475F60" w14:textId="77777777" w:rsidR="006D4FF4" w:rsidRDefault="00000000">
            <w:pPr>
              <w:spacing w:before="40" w:after="40" w:line="252" w:lineRule="auto"/>
            </w:pPr>
            <w:r>
              <w:rPr>
                <w:sz w:val="19"/>
                <w:szCs w:val="19"/>
              </w:rPr>
              <w:t>Begrenztes Risiko – Art. 50 KI-VO</w:t>
            </w:r>
          </w:p>
        </w:tc>
      </w:tr>
      <w:tr w:rsidR="006D4FF4" w14:paraId="4F48C124" w14:textId="77777777">
        <w:tblPrEx>
          <w:tblCellMar>
            <w:top w:w="0" w:type="dxa"/>
            <w:bottom w:w="0" w:type="dxa"/>
          </w:tblCellMar>
        </w:tblPrEx>
        <w:tc>
          <w:tcPr>
            <w:tcW w:w="2200" w:type="dxa"/>
            <w:shd w:val="clear" w:color="auto" w:fill="FAFAFA"/>
            <w:tcMar>
              <w:top w:w="60" w:type="dxa"/>
              <w:left w:w="100" w:type="dxa"/>
              <w:bottom w:w="60" w:type="dxa"/>
              <w:right w:w="100" w:type="dxa"/>
            </w:tcMar>
          </w:tcPr>
          <w:p w14:paraId="0565C481" w14:textId="77777777" w:rsidR="006D4FF4" w:rsidRDefault="00000000">
            <w:pPr>
              <w:spacing w:before="40" w:after="40" w:line="252" w:lineRule="auto"/>
            </w:pPr>
            <w:r>
              <w:rPr>
                <w:sz w:val="19"/>
                <w:szCs w:val="19"/>
              </w:rPr>
              <w:t>Lernziel</w:t>
            </w:r>
          </w:p>
        </w:tc>
        <w:tc>
          <w:tcPr>
            <w:tcW w:w="7438" w:type="dxa"/>
            <w:shd w:val="clear" w:color="auto" w:fill="FAFAFA"/>
            <w:tcMar>
              <w:top w:w="60" w:type="dxa"/>
              <w:left w:w="100" w:type="dxa"/>
              <w:bottom w:w="60" w:type="dxa"/>
              <w:right w:w="100" w:type="dxa"/>
            </w:tcMar>
          </w:tcPr>
          <w:p w14:paraId="2C302D5B" w14:textId="77777777" w:rsidR="006D4FF4" w:rsidRDefault="00000000">
            <w:pPr>
              <w:spacing w:before="40" w:after="40" w:line="252" w:lineRule="auto"/>
            </w:pPr>
            <w:r>
              <w:rPr>
                <w:sz w:val="19"/>
                <w:szCs w:val="19"/>
              </w:rPr>
              <w:t>Transparenzpflichten anwenden und den Anbieterbegriff außerhalb des Hochrisiko-Bereichs verstehen.</w:t>
            </w:r>
          </w:p>
        </w:tc>
      </w:tr>
      <w:tr w:rsidR="006D4FF4" w14:paraId="4CB450ED" w14:textId="77777777">
        <w:tblPrEx>
          <w:tblCellMar>
            <w:top w:w="0" w:type="dxa"/>
            <w:bottom w:w="0" w:type="dxa"/>
          </w:tblCellMar>
        </w:tblPrEx>
        <w:tc>
          <w:tcPr>
            <w:tcW w:w="2200" w:type="dxa"/>
            <w:tcMar>
              <w:top w:w="60" w:type="dxa"/>
              <w:left w:w="100" w:type="dxa"/>
              <w:bottom w:w="60" w:type="dxa"/>
              <w:right w:w="100" w:type="dxa"/>
            </w:tcMar>
          </w:tcPr>
          <w:p w14:paraId="35266E0D" w14:textId="77777777" w:rsidR="006D4FF4" w:rsidRDefault="00000000">
            <w:pPr>
              <w:spacing w:before="40" w:after="40" w:line="252" w:lineRule="auto"/>
            </w:pPr>
            <w:r>
              <w:rPr>
                <w:sz w:val="19"/>
                <w:szCs w:val="19"/>
              </w:rPr>
              <w:t>Ergebnis</w:t>
            </w:r>
          </w:p>
        </w:tc>
        <w:tc>
          <w:tcPr>
            <w:tcW w:w="7438" w:type="dxa"/>
            <w:tcMar>
              <w:top w:w="60" w:type="dxa"/>
              <w:left w:w="100" w:type="dxa"/>
              <w:bottom w:w="60" w:type="dxa"/>
              <w:right w:w="100" w:type="dxa"/>
            </w:tcMar>
          </w:tcPr>
          <w:p w14:paraId="1E58B8C0" w14:textId="77777777" w:rsidR="006D4FF4" w:rsidRDefault="00000000">
            <w:pPr>
              <w:spacing w:before="40" w:after="40" w:line="252" w:lineRule="auto"/>
            </w:pPr>
            <w:r>
              <w:rPr>
                <w:sz w:val="19"/>
                <w:szCs w:val="19"/>
              </w:rPr>
              <w:t>Begrenztes Risiko; Transparenzpflichten nach Art. 50 KI-VO, die Stadt trifft insoweit auch Anbieterpflichten.</w:t>
            </w:r>
          </w:p>
        </w:tc>
      </w:tr>
    </w:tbl>
    <w:p w14:paraId="3C917043" w14:textId="77777777" w:rsidR="006D4FF4" w:rsidRDefault="006D4FF4">
      <w:pPr>
        <w:spacing w:after="140"/>
      </w:pPr>
    </w:p>
    <w:p w14:paraId="31B132B6" w14:textId="77777777" w:rsidR="006D4FF4" w:rsidRDefault="00000000">
      <w:pPr>
        <w:pStyle w:val="berschrift2"/>
        <w:keepNext/>
        <w:spacing w:before="280" w:after="140"/>
      </w:pPr>
      <w:bookmarkStart w:id="21" w:name="_Toc240325008"/>
      <w:r>
        <w:rPr>
          <w:b/>
          <w:bCs/>
          <w:color w:val="1A5FB4"/>
          <w:sz w:val="25"/>
          <w:szCs w:val="25"/>
        </w:rPr>
        <w:t>Musterlösung</w:t>
      </w:r>
      <w:bookmarkEnd w:id="21"/>
    </w:p>
    <w:p w14:paraId="75F33C17" w14:textId="77777777" w:rsidR="006D4FF4" w:rsidRDefault="00000000">
      <w:pPr>
        <w:keepNext/>
        <w:spacing w:before="200" w:after="80"/>
      </w:pPr>
      <w:r>
        <w:rPr>
          <w:b/>
          <w:bCs/>
          <w:color w:val="1A5FB4"/>
        </w:rPr>
        <w:t xml:space="preserve">Frage 1:  </w:t>
      </w:r>
      <w:r>
        <w:rPr>
          <w:b/>
          <w:bCs/>
        </w:rPr>
        <w:t>Liegt ein KI-System im Sinne des Art. 3 Nr. 1 KI-VO vor? Begründen Sie anhand der einzelnen Begriffsmerkmale.</w:t>
      </w:r>
    </w:p>
    <w:p w14:paraId="0F55459B" w14:textId="77777777" w:rsidR="006D4FF4" w:rsidRDefault="00000000">
      <w:pPr>
        <w:spacing w:after="100"/>
      </w:pPr>
      <w:r>
        <w:t>Ja, unzweifelhaft. Es handelt sich zugleich um ein KI-System mit allgemeinem Verwendungszweck (Art. 3 Nr. 66 KI-VO), das auf einem Modell mit allgemeinem Verwendungszweck (Art. 3 Nr. 63 KI-VO) beruht.</w:t>
      </w:r>
    </w:p>
    <w:p w14:paraId="555BF98A" w14:textId="77777777" w:rsidR="006D4FF4" w:rsidRDefault="00000000">
      <w:pPr>
        <w:keepNext/>
        <w:spacing w:before="200" w:after="80"/>
      </w:pPr>
      <w:r>
        <w:rPr>
          <w:b/>
          <w:bCs/>
          <w:color w:val="1A5FB4"/>
        </w:rPr>
        <w:t xml:space="preserve">Frage 2:  </w:t>
      </w:r>
      <w:r>
        <w:rPr>
          <w:b/>
          <w:bCs/>
        </w:rPr>
        <w:t>Ist der Anwendungsbereich der KI-VO eröffnet oder greift eine Bereichsausnahme (Art. 2, Art. 111 Abs. 2 KI-VO)?</w:t>
      </w:r>
    </w:p>
    <w:p w14:paraId="4480FFBF" w14:textId="77777777" w:rsidR="006D4FF4" w:rsidRDefault="00000000">
      <w:pPr>
        <w:spacing w:after="100"/>
      </w:pPr>
      <w:r>
        <w:t>Ja, eröffnet. Keine Bereichsausnahme; insbesondere greift Art. 2 Abs. 12 KI-VO auch bei einem quelloffenen Modell nicht, soweit Art. 50 KI-VO einschlägig ist.</w:t>
      </w:r>
    </w:p>
    <w:p w14:paraId="23E00959" w14:textId="77777777" w:rsidR="006D4FF4" w:rsidRDefault="00000000">
      <w:pPr>
        <w:keepNext/>
        <w:spacing w:before="200" w:after="80"/>
      </w:pPr>
      <w:r>
        <w:rPr>
          <w:b/>
          <w:bCs/>
          <w:color w:val="1A5FB4"/>
        </w:rPr>
        <w:t xml:space="preserve">Frage 3:  </w:t>
      </w:r>
      <w:r>
        <w:rPr>
          <w:b/>
          <w:bCs/>
        </w:rPr>
        <w:t>In welcher Rolle handelt die Behörde (Art. 3 Nr. 3, Nr. 4 KI-VO)? Kommt ein Rollenwechsel zum Anbieter nach Art. 25 KI-VO in Betracht?</w:t>
      </w:r>
    </w:p>
    <w:p w14:paraId="64D34F55" w14:textId="77777777" w:rsidR="006D4FF4" w:rsidRDefault="00000000">
      <w:pPr>
        <w:spacing w:after="100"/>
      </w:pPr>
      <w:r>
        <w:t>Die Stadt ist jedenfalls Betreiberin. Durch die Bereitstellung unter eigenem Namen nimmt sie das System zudem unter eigener Marke in Betrieb und erfüllt damit den Anbieterbegriff des Art. 3 Nr. 3 KI-VO. Wichtig für die Diskussion: Art. 25 Abs. 1 KI-VO regelt den Rollenwechsel ausdrücklich für Hochrisiko-Systeme; hier folgt die Anbieterstellung unmittelbar aus Art. 3 Nr. 3 KI-VO und führt dazu, dass die Anbieterpflichten des Art. 50 Abs. 1 und 2 KI-VO die Stadt selbst treffen.</w:t>
      </w:r>
    </w:p>
    <w:p w14:paraId="19974BF8" w14:textId="77777777" w:rsidR="006D4FF4" w:rsidRDefault="00000000">
      <w:pPr>
        <w:keepNext/>
        <w:spacing w:before="200" w:after="80"/>
      </w:pPr>
      <w:r>
        <w:rPr>
          <w:b/>
          <w:bCs/>
          <w:color w:val="1A5FB4"/>
        </w:rPr>
        <w:t xml:space="preserve">Frage 4:  </w:t>
      </w:r>
      <w:r>
        <w:rPr>
          <w:b/>
          <w:bCs/>
        </w:rPr>
        <w:t>Wie lautet die Zweckbestimmung (Art. 3 Nr. 12 KI-VO), und weicht die tatsächlich beabsichtigte Verwendung davon ab?</w:t>
      </w:r>
    </w:p>
    <w:p w14:paraId="5C4A25A2" w14:textId="77777777" w:rsidR="006D4FF4" w:rsidRDefault="00000000">
      <w:pPr>
        <w:spacing w:after="100"/>
      </w:pPr>
      <w:r>
        <w:t>Zweckbestimmung: allgemeine Auskunft und Terminvereinbarung. Die beabsichtigte Verwendung deckt sich damit. Die Entwurfsfunktion für Anträge ist zu betrachten: Sie bleibt unterstützend, solange keine Anspruchsbewertung erfolgt.</w:t>
      </w:r>
    </w:p>
    <w:p w14:paraId="2392AF11" w14:textId="77777777" w:rsidR="006D4FF4" w:rsidRDefault="00000000">
      <w:pPr>
        <w:keepNext/>
        <w:spacing w:before="200" w:after="80"/>
      </w:pPr>
      <w:r>
        <w:rPr>
          <w:b/>
          <w:bCs/>
          <w:color w:val="1A5FB4"/>
        </w:rPr>
        <w:t xml:space="preserve">Frage 5:  </w:t>
      </w:r>
      <w:r>
        <w:rPr>
          <w:b/>
          <w:bCs/>
        </w:rPr>
        <w:t>Liegt eine verbotene Praktik nach Art. 5 KI-VO vor? Welcher Buchstabe kommt in Betracht, und welche Abgrenzung ist zu treffen?</w:t>
      </w:r>
    </w:p>
    <w:p w14:paraId="4D52D247" w14:textId="77777777" w:rsidR="006D4FF4" w:rsidRDefault="00000000">
      <w:pPr>
        <w:spacing w:after="100"/>
      </w:pPr>
      <w:r>
        <w:t xml:space="preserve">Nein. Zu diskutieren ist allenfalls Art. 5 Abs. 1 </w:t>
      </w:r>
      <w:proofErr w:type="spellStart"/>
      <w:r>
        <w:t>lit</w:t>
      </w:r>
      <w:proofErr w:type="spellEnd"/>
      <w:r>
        <w:t>. a KI-VO (täuschende Techniken): Der fehlende Hinweis lässt die Bürger irren. Für ein Verbot fehlt es jedoch an der Absicht der wesentlichen Verhaltensbeeinflussung und am erheblichen Schaden. Der Fall wird deshalb über Art. 50 KI-VO gelöst – ein guter Anlass, das Verhältnis beider Normen zu erläutern.</w:t>
      </w:r>
    </w:p>
    <w:p w14:paraId="7D59C2FC" w14:textId="77777777" w:rsidR="006D4FF4" w:rsidRDefault="00000000">
      <w:pPr>
        <w:keepNext/>
        <w:spacing w:before="200" w:after="80"/>
      </w:pPr>
      <w:r>
        <w:rPr>
          <w:b/>
          <w:bCs/>
          <w:color w:val="1A5FB4"/>
        </w:rPr>
        <w:t xml:space="preserve">Frage 6:  </w:t>
      </w:r>
      <w:r>
        <w:rPr>
          <w:b/>
          <w:bCs/>
        </w:rPr>
        <w:t>Liegt ein Hochrisiko-Fall nach Art. 6 Abs. 1 i. V. m. Anhang I oder nach Art. 6 Abs. 2 i. V. m. Anhang III vor? Benennen Sie den konkreten Tatbestand.</w:t>
      </w:r>
    </w:p>
    <w:p w14:paraId="779A2B8A" w14:textId="77777777" w:rsidR="006D4FF4" w:rsidRDefault="00000000">
      <w:pPr>
        <w:spacing w:after="100"/>
      </w:pPr>
      <w:r>
        <w:t xml:space="preserve">Nein. Weder Anhang I noch Anhang III sind einschlägig. Die Terminvergabe ist keine Anspruchsprüfung im Sinne des Anhangs III Nr. 5 </w:t>
      </w:r>
      <w:proofErr w:type="spellStart"/>
      <w:r>
        <w:t>lit</w:t>
      </w:r>
      <w:proofErr w:type="spellEnd"/>
      <w:r>
        <w:t>. a.</w:t>
      </w:r>
    </w:p>
    <w:p w14:paraId="70853FD8" w14:textId="77777777" w:rsidR="006D4FF4" w:rsidRDefault="00000000">
      <w:pPr>
        <w:keepNext/>
        <w:spacing w:before="200" w:after="80"/>
      </w:pPr>
      <w:r>
        <w:rPr>
          <w:b/>
          <w:bCs/>
          <w:color w:val="1A5FB4"/>
        </w:rPr>
        <w:lastRenderedPageBreak/>
        <w:t xml:space="preserve">Frage 7:  </w:t>
      </w:r>
      <w:r>
        <w:rPr>
          <w:b/>
          <w:bCs/>
        </w:rPr>
        <w:t>Greift die Ausnahme des Art. 6 Abs. 3 KI-VO? Welche Folgepflichten bestehen auch dann (Art. 6 Abs. 4, Art. 49 Abs. 2 KI-VO)?</w:t>
      </w:r>
    </w:p>
    <w:p w14:paraId="42EF4545" w14:textId="77777777" w:rsidR="006D4FF4" w:rsidRDefault="00000000">
      <w:pPr>
        <w:spacing w:after="100"/>
      </w:pPr>
      <w:r>
        <w:t>Nicht einschlägig, weil bereits kein Anhang-III-Fall vorliegt.</w:t>
      </w:r>
    </w:p>
    <w:p w14:paraId="70412F05" w14:textId="77777777" w:rsidR="006D4FF4" w:rsidRDefault="00000000">
      <w:pPr>
        <w:keepNext/>
        <w:spacing w:before="200" w:after="80"/>
      </w:pPr>
      <w:r>
        <w:rPr>
          <w:b/>
          <w:bCs/>
          <w:color w:val="1A5FB4"/>
        </w:rPr>
        <w:t xml:space="preserve">Frage 8:  </w:t>
      </w:r>
      <w:r>
        <w:rPr>
          <w:b/>
          <w:bCs/>
        </w:rPr>
        <w:t>Welche Risikoklasse ergibt sich als Ergebnis, und ab welchem Zeitpunkt gelten die Pflichten?</w:t>
      </w:r>
    </w:p>
    <w:p w14:paraId="0FB5D38C" w14:textId="77777777" w:rsidR="006D4FF4" w:rsidRDefault="00000000">
      <w:pPr>
        <w:spacing w:after="100"/>
      </w:pPr>
      <w:r>
        <w:t>Begrenztes Risiko – Transparenzpflichten nach Art. 50 KI-VO. Diese gelten bereits seit dem 2. August 2026; für die maschinenlesbare Kennzeichnung generativer Ausgaben bestand für vor diesem Stichtag in Verkehr gebrachte Systeme eine Übergangsfrist bis zum 2. Dezember 2026.</w:t>
      </w:r>
    </w:p>
    <w:p w14:paraId="4D815795" w14:textId="77777777" w:rsidR="006D4FF4" w:rsidRDefault="00000000">
      <w:pPr>
        <w:keepNext/>
        <w:spacing w:before="200" w:after="80"/>
      </w:pPr>
      <w:r>
        <w:rPr>
          <w:b/>
          <w:bCs/>
          <w:color w:val="1A5FB4"/>
        </w:rPr>
        <w:t xml:space="preserve">Frage 9:  </w:t>
      </w:r>
      <w:r>
        <w:rPr>
          <w:b/>
          <w:bCs/>
        </w:rPr>
        <w:t>Welche konkreten Maßnahmen und Pflichten treffen die Behörde (insbesondere Art. 26, 27, 49, 86 KI-VO bzw. Anbieterpflichten)? Wer ist in Ihrem Haus jeweils zuständig?</w:t>
      </w:r>
    </w:p>
    <w:p w14:paraId="7609D208" w14:textId="77777777" w:rsidR="006D4FF4" w:rsidRDefault="00000000">
      <w:pPr>
        <w:spacing w:after="100"/>
      </w:pPr>
      <w:r>
        <w:t>Kein Art. 26, kein Art. 27 KI-VO. Umzusetzen sind: deutlicher Hinweis auf den KI-Einsatz vor der ersten Interaktion; Eskalationsweg zu einem Menschen; Qualitätssicherung der Wissensbasis; Protokollierung und Löschkonzept; Schulung der Beschäftigten nach Art. 4 KI-VO; klare Aussage, dass keine rechtsverbindlichen Auskünfte erteilt werden.</w:t>
      </w:r>
    </w:p>
    <w:p w14:paraId="71CB741D" w14:textId="77777777" w:rsidR="006D4FF4" w:rsidRDefault="00000000">
      <w:pPr>
        <w:keepNext/>
        <w:spacing w:before="200" w:after="80"/>
      </w:pPr>
      <w:r>
        <w:rPr>
          <w:b/>
          <w:bCs/>
          <w:color w:val="1A5FB4"/>
        </w:rPr>
        <w:t xml:space="preserve">Frage 10:  </w:t>
      </w:r>
      <w:r>
        <w:rPr>
          <w:b/>
          <w:bCs/>
        </w:rPr>
        <w:t>Welche Transparenzpflichten nach Art. 50 KI-VO und welche flankierenden Prüfungen (Datenschutz, Personalvertretung, Verwaltungsverfahren, IT-Sicherheit, Vergabe, Geheimnisschutz) sind zu veranlassen?</w:t>
      </w:r>
    </w:p>
    <w:p w14:paraId="25327C71" w14:textId="77777777" w:rsidR="006D4FF4" w:rsidRDefault="00000000">
      <w:pPr>
        <w:spacing w:after="100"/>
      </w:pPr>
      <w:r>
        <w:t>Art. 50 Abs. 1 KI-VO: Information, dass es sich um ein KI-System handelt – die Verwechslung mit einem Menschen zeigt, dass der Einsatz gerade nicht offensichtlich ist. Art. 50 Abs. 2 KI-VO für generierte Inhalte. Art. 50 Abs. 5 KI-VO: klar, erkennbar, barrierefrei und spätestens bei der ersten Interaktion. Flankierend: Datenschutzhinweise und Rechtsgrundlage für die 90-tägige Speicherung, Barrierefreiheit nach BayBGG und BITV 2.0, Impressums- und Haftungsfragen, Vergabe und Auftragsverarbeitung.</w:t>
      </w:r>
    </w:p>
    <w:p w14:paraId="1CDCB0ED" w14:textId="77777777" w:rsidR="006D4FF4" w:rsidRDefault="00000000">
      <w:pPr>
        <w:pStyle w:val="berschrift2"/>
        <w:keepNext/>
        <w:spacing w:before="280" w:after="140"/>
      </w:pPr>
      <w:bookmarkStart w:id="22" w:name="_Toc240325009"/>
      <w:r>
        <w:rPr>
          <w:b/>
          <w:bCs/>
          <w:color w:val="1A5FB4"/>
          <w:sz w:val="25"/>
          <w:szCs w:val="25"/>
        </w:rPr>
        <w:t>Stolpersteine und Diskussionsimpulse</w:t>
      </w:r>
      <w:bookmarkEnd w:id="22"/>
    </w:p>
    <w:p w14:paraId="597C3E93" w14:textId="77777777" w:rsidR="006D4FF4" w:rsidRDefault="00000000">
      <w:pPr>
        <w:pStyle w:val="Listenabsatz"/>
        <w:numPr>
          <w:ilvl w:val="0"/>
          <w:numId w:val="2"/>
        </w:numPr>
        <w:spacing w:after="60"/>
      </w:pPr>
      <w:r>
        <w:t>Die Aussage "ist doch offensichtlich ein Bot" wird durch den Sachverhalt widerlegt – die Testgespräche sind das Argument.</w:t>
      </w:r>
    </w:p>
    <w:p w14:paraId="0E797C60" w14:textId="77777777" w:rsidR="006D4FF4" w:rsidRDefault="00000000">
      <w:pPr>
        <w:pStyle w:val="Listenabsatz"/>
        <w:numPr>
          <w:ilvl w:val="0"/>
          <w:numId w:val="2"/>
        </w:numPr>
        <w:spacing w:after="60"/>
      </w:pPr>
      <w:r>
        <w:t>Der Anbieterbegriff außerhalb des Hochrisiko-Bereichs überrascht viele. Art. 3 Nr. 3 und Art. 25 Abs. 1 KI-VO sauber trennen.</w:t>
      </w:r>
    </w:p>
    <w:p w14:paraId="65A522B9" w14:textId="77777777" w:rsidR="006D4FF4" w:rsidRDefault="00000000">
      <w:pPr>
        <w:pStyle w:val="Listenabsatz"/>
        <w:numPr>
          <w:ilvl w:val="0"/>
          <w:numId w:val="2"/>
        </w:numPr>
        <w:spacing w:after="60"/>
      </w:pPr>
      <w:r>
        <w:t>Gute Anschlussfrage: Was ändert sich, wenn der Assistent künftig Auskunft über den Stand eines Wohngeldantrags gibt?</w:t>
      </w:r>
    </w:p>
    <w:p w14:paraId="0B3207B9" w14:textId="77777777" w:rsidR="006D4FF4" w:rsidRDefault="00000000">
      <w:pPr>
        <w:pBdr>
          <w:top w:val="single" w:sz="6" w:space="0" w:color="1A5FB4"/>
          <w:left w:val="single" w:sz="18" w:space="0" w:color="1A5FB4"/>
          <w:bottom w:val="single" w:sz="6" w:space="0" w:color="1A5FB4"/>
          <w:right w:val="single" w:sz="6" w:space="0" w:color="1A5FB4"/>
        </w:pBdr>
        <w:shd w:val="clear" w:color="auto" w:fill="EAF1FB"/>
        <w:spacing w:before="160"/>
      </w:pPr>
      <w:r>
        <w:rPr>
          <w:b/>
          <w:bCs/>
          <w:color w:val="0B3B7A"/>
        </w:rPr>
        <w:t>Ergebnis in einem Satz</w:t>
      </w:r>
    </w:p>
    <w:p w14:paraId="195F08FE" w14:textId="77777777" w:rsidR="006D4FF4" w:rsidRDefault="00000000">
      <w:pPr>
        <w:pBdr>
          <w:left w:val="single" w:sz="18" w:space="0" w:color="1A5FB4"/>
          <w:bottom w:val="single" w:sz="6" w:space="0" w:color="1A5FB4"/>
          <w:right w:val="single" w:sz="6" w:space="0" w:color="1A5FB4"/>
        </w:pBdr>
        <w:shd w:val="clear" w:color="auto" w:fill="EAF1FB"/>
        <w:spacing w:after="160"/>
      </w:pPr>
      <w:r>
        <w:rPr>
          <w:color w:val="0B3B7A"/>
          <w:sz w:val="20"/>
          <w:szCs w:val="20"/>
        </w:rPr>
        <w:t>Begrenztes Risiko; Transparenzpflichten nach Art. 50 KI-VO, die Stadt trifft insoweit auch Anbieterpflichten.</w:t>
      </w:r>
    </w:p>
    <w:p w14:paraId="6DE8C85F" w14:textId="77777777" w:rsidR="006D4FF4" w:rsidRDefault="00000000">
      <w:r>
        <w:br w:type="page"/>
      </w:r>
    </w:p>
    <w:p w14:paraId="165BC506" w14:textId="77777777" w:rsidR="006D4FF4" w:rsidRDefault="00000000">
      <w:pPr>
        <w:pStyle w:val="berschrift1"/>
        <w:keepNext/>
        <w:spacing w:before="360" w:after="180"/>
      </w:pPr>
      <w:bookmarkStart w:id="23" w:name="_Toc240325010"/>
      <w:r>
        <w:rPr>
          <w:b/>
          <w:bCs/>
          <w:color w:val="1A5FB4"/>
          <w:sz w:val="30"/>
          <w:szCs w:val="30"/>
        </w:rPr>
        <w:lastRenderedPageBreak/>
        <w:t>Prüffall 7 – Aus Auswertung wird Bewertung</w:t>
      </w:r>
      <w:bookmarkEnd w:id="23"/>
    </w:p>
    <w:tbl>
      <w:tblPr>
        <w:tblW w:w="9638"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2200"/>
        <w:gridCol w:w="7438"/>
      </w:tblGrid>
      <w:tr w:rsidR="006D4FF4" w14:paraId="34642568" w14:textId="77777777">
        <w:tblPrEx>
          <w:tblCellMar>
            <w:top w:w="0" w:type="dxa"/>
            <w:bottom w:w="0" w:type="dxa"/>
          </w:tblCellMar>
        </w:tblPrEx>
        <w:trPr>
          <w:tblHeader/>
        </w:trPr>
        <w:tc>
          <w:tcPr>
            <w:tcW w:w="2200" w:type="dxa"/>
            <w:shd w:val="clear" w:color="auto" w:fill="1A5FB4"/>
            <w:tcMar>
              <w:top w:w="60" w:type="dxa"/>
              <w:left w:w="100" w:type="dxa"/>
              <w:bottom w:w="60" w:type="dxa"/>
              <w:right w:w="100" w:type="dxa"/>
            </w:tcMar>
          </w:tcPr>
          <w:p w14:paraId="59A228DB" w14:textId="77777777" w:rsidR="006D4FF4" w:rsidRDefault="00000000">
            <w:pPr>
              <w:spacing w:before="40" w:after="40" w:line="252" w:lineRule="auto"/>
            </w:pPr>
            <w:r>
              <w:rPr>
                <w:b/>
                <w:bCs/>
                <w:color w:val="FFFFFF"/>
                <w:sz w:val="19"/>
                <w:szCs w:val="19"/>
              </w:rPr>
              <w:t>Merkmal</w:t>
            </w:r>
          </w:p>
        </w:tc>
        <w:tc>
          <w:tcPr>
            <w:tcW w:w="7438" w:type="dxa"/>
            <w:shd w:val="clear" w:color="auto" w:fill="1A5FB4"/>
            <w:tcMar>
              <w:top w:w="60" w:type="dxa"/>
              <w:left w:w="100" w:type="dxa"/>
              <w:bottom w:w="60" w:type="dxa"/>
              <w:right w:w="100" w:type="dxa"/>
            </w:tcMar>
          </w:tcPr>
          <w:p w14:paraId="3D0643CF" w14:textId="77777777" w:rsidR="006D4FF4" w:rsidRDefault="00000000">
            <w:pPr>
              <w:spacing w:before="40" w:after="40" w:line="252" w:lineRule="auto"/>
            </w:pPr>
            <w:r>
              <w:rPr>
                <w:b/>
                <w:bCs/>
                <w:color w:val="FFFFFF"/>
                <w:sz w:val="19"/>
                <w:szCs w:val="19"/>
              </w:rPr>
              <w:t>Angabe</w:t>
            </w:r>
          </w:p>
        </w:tc>
      </w:tr>
      <w:tr w:rsidR="006D4FF4" w14:paraId="4C6A8CC8" w14:textId="77777777">
        <w:tblPrEx>
          <w:tblCellMar>
            <w:top w:w="0" w:type="dxa"/>
            <w:bottom w:w="0" w:type="dxa"/>
          </w:tblCellMar>
        </w:tblPrEx>
        <w:tc>
          <w:tcPr>
            <w:tcW w:w="2200" w:type="dxa"/>
            <w:tcMar>
              <w:top w:w="60" w:type="dxa"/>
              <w:left w:w="100" w:type="dxa"/>
              <w:bottom w:w="60" w:type="dxa"/>
              <w:right w:w="100" w:type="dxa"/>
            </w:tcMar>
          </w:tcPr>
          <w:p w14:paraId="00FBCC05" w14:textId="77777777" w:rsidR="006D4FF4" w:rsidRDefault="00000000">
            <w:pPr>
              <w:spacing w:before="40" w:after="40" w:line="252" w:lineRule="auto"/>
            </w:pPr>
            <w:r>
              <w:rPr>
                <w:sz w:val="19"/>
                <w:szCs w:val="19"/>
              </w:rPr>
              <w:t>Schwerpunkt</w:t>
            </w:r>
          </w:p>
        </w:tc>
        <w:tc>
          <w:tcPr>
            <w:tcW w:w="7438" w:type="dxa"/>
            <w:tcMar>
              <w:top w:w="60" w:type="dxa"/>
              <w:left w:w="100" w:type="dxa"/>
              <w:bottom w:w="60" w:type="dxa"/>
              <w:right w:w="100" w:type="dxa"/>
            </w:tcMar>
          </w:tcPr>
          <w:p w14:paraId="56CE88FF" w14:textId="77777777" w:rsidR="006D4FF4" w:rsidRDefault="00000000">
            <w:pPr>
              <w:spacing w:before="40" w:after="40" w:line="252" w:lineRule="auto"/>
            </w:pPr>
            <w:r>
              <w:rPr>
                <w:sz w:val="19"/>
                <w:szCs w:val="19"/>
              </w:rPr>
              <w:t>Rollenwechsel nach Art. 25 KI-VO</w:t>
            </w:r>
          </w:p>
        </w:tc>
      </w:tr>
      <w:tr w:rsidR="006D4FF4" w14:paraId="6CCD1634" w14:textId="77777777">
        <w:tblPrEx>
          <w:tblCellMar>
            <w:top w:w="0" w:type="dxa"/>
            <w:bottom w:w="0" w:type="dxa"/>
          </w:tblCellMar>
        </w:tblPrEx>
        <w:tc>
          <w:tcPr>
            <w:tcW w:w="2200" w:type="dxa"/>
            <w:shd w:val="clear" w:color="auto" w:fill="FAFAFA"/>
            <w:tcMar>
              <w:top w:w="60" w:type="dxa"/>
              <w:left w:w="100" w:type="dxa"/>
              <w:bottom w:w="60" w:type="dxa"/>
              <w:right w:w="100" w:type="dxa"/>
            </w:tcMar>
          </w:tcPr>
          <w:p w14:paraId="2EA7BA69" w14:textId="77777777" w:rsidR="006D4FF4" w:rsidRDefault="00000000">
            <w:pPr>
              <w:spacing w:before="40" w:after="40" w:line="252" w:lineRule="auto"/>
            </w:pPr>
            <w:r>
              <w:rPr>
                <w:sz w:val="19"/>
                <w:szCs w:val="19"/>
              </w:rPr>
              <w:t>Lernziel</w:t>
            </w:r>
          </w:p>
        </w:tc>
        <w:tc>
          <w:tcPr>
            <w:tcW w:w="7438" w:type="dxa"/>
            <w:shd w:val="clear" w:color="auto" w:fill="FAFAFA"/>
            <w:tcMar>
              <w:top w:w="60" w:type="dxa"/>
              <w:left w:w="100" w:type="dxa"/>
              <w:bottom w:w="60" w:type="dxa"/>
              <w:right w:w="100" w:type="dxa"/>
            </w:tcMar>
          </w:tcPr>
          <w:p w14:paraId="73A71B3E" w14:textId="77777777" w:rsidR="006D4FF4" w:rsidRDefault="00000000">
            <w:pPr>
              <w:spacing w:before="40" w:after="40" w:line="252" w:lineRule="auto"/>
            </w:pPr>
            <w:r>
              <w:rPr>
                <w:sz w:val="19"/>
                <w:szCs w:val="19"/>
              </w:rPr>
              <w:t>Erkennen, dass eine Zweckänderung die Risikoklasse und die Rolle gleichzeitig verändert.</w:t>
            </w:r>
          </w:p>
        </w:tc>
      </w:tr>
      <w:tr w:rsidR="006D4FF4" w14:paraId="03963294" w14:textId="77777777">
        <w:tblPrEx>
          <w:tblCellMar>
            <w:top w:w="0" w:type="dxa"/>
            <w:bottom w:w="0" w:type="dxa"/>
          </w:tblCellMar>
        </w:tblPrEx>
        <w:tc>
          <w:tcPr>
            <w:tcW w:w="2200" w:type="dxa"/>
            <w:tcMar>
              <w:top w:w="60" w:type="dxa"/>
              <w:left w:w="100" w:type="dxa"/>
              <w:bottom w:w="60" w:type="dxa"/>
              <w:right w:w="100" w:type="dxa"/>
            </w:tcMar>
          </w:tcPr>
          <w:p w14:paraId="12D9AC53" w14:textId="77777777" w:rsidR="006D4FF4" w:rsidRDefault="00000000">
            <w:pPr>
              <w:spacing w:before="40" w:after="40" w:line="252" w:lineRule="auto"/>
            </w:pPr>
            <w:r>
              <w:rPr>
                <w:sz w:val="19"/>
                <w:szCs w:val="19"/>
              </w:rPr>
              <w:t>Ergebnis</w:t>
            </w:r>
          </w:p>
        </w:tc>
        <w:tc>
          <w:tcPr>
            <w:tcW w:w="7438" w:type="dxa"/>
            <w:tcMar>
              <w:top w:w="60" w:type="dxa"/>
              <w:left w:w="100" w:type="dxa"/>
              <w:bottom w:w="60" w:type="dxa"/>
              <w:right w:w="100" w:type="dxa"/>
            </w:tcMar>
          </w:tcPr>
          <w:p w14:paraId="43B4A120" w14:textId="77777777" w:rsidR="006D4FF4" w:rsidRDefault="00000000">
            <w:pPr>
              <w:spacing w:before="40" w:after="40" w:line="252" w:lineRule="auto"/>
            </w:pPr>
            <w:r w:rsidRPr="005F785E">
              <w:rPr>
                <w:color w:val="000000" w:themeColor="text1"/>
                <w:sz w:val="19"/>
              </w:rPr>
              <w:t>Hochrisiko nach Anhang III Nr. 4 Buchst. b KI-VO und Rollenwechsel zur Anbieterin jedenfalls nach Art. 25 Abs. 1 Buchst. c KI-VO.</w:t>
            </w:r>
          </w:p>
        </w:tc>
      </w:tr>
    </w:tbl>
    <w:p w14:paraId="341F0519" w14:textId="77777777" w:rsidR="006D4FF4" w:rsidRDefault="006D4FF4">
      <w:pPr>
        <w:spacing w:after="140"/>
      </w:pPr>
    </w:p>
    <w:p w14:paraId="36EED7CC" w14:textId="77777777" w:rsidR="006D4FF4" w:rsidRDefault="00000000">
      <w:pPr>
        <w:pStyle w:val="berschrift2"/>
        <w:keepNext/>
        <w:spacing w:before="280" w:after="140"/>
      </w:pPr>
      <w:bookmarkStart w:id="24" w:name="_Toc240325011"/>
      <w:r>
        <w:rPr>
          <w:b/>
          <w:bCs/>
          <w:color w:val="1A5FB4"/>
          <w:sz w:val="25"/>
          <w:szCs w:val="25"/>
        </w:rPr>
        <w:t>Musterlösung</w:t>
      </w:r>
      <w:bookmarkEnd w:id="24"/>
    </w:p>
    <w:p w14:paraId="03D98B00" w14:textId="77777777" w:rsidR="006D4FF4" w:rsidRDefault="00000000">
      <w:pPr>
        <w:keepNext/>
        <w:spacing w:before="200" w:after="80"/>
      </w:pPr>
      <w:r>
        <w:rPr>
          <w:b/>
          <w:bCs/>
          <w:color w:val="1A5FB4"/>
        </w:rPr>
        <w:t xml:space="preserve">Frage 1:  </w:t>
      </w:r>
      <w:r>
        <w:rPr>
          <w:b/>
          <w:bCs/>
        </w:rPr>
        <w:t>Liegt ein KI-System im Sinne des Art. 3 Nr. 1 KI-VO vor? Begründen Sie anhand der einzelnen Begriffsmerkmale.</w:t>
      </w:r>
    </w:p>
    <w:p w14:paraId="4BB622F7" w14:textId="77777777" w:rsidR="006D4FF4" w:rsidRDefault="00000000">
      <w:pPr>
        <w:spacing w:after="100"/>
      </w:pPr>
      <w:r>
        <w:t>Ja. Das nachtrainierte System leitet aus Bearbeitungsdaten einen Leistungsindikator ab; Ableitungsfähigkeit und Anpassungsfähigkeit sind gegeben.</w:t>
      </w:r>
    </w:p>
    <w:p w14:paraId="25683EC4" w14:textId="77777777" w:rsidR="006D4FF4" w:rsidRDefault="00000000">
      <w:pPr>
        <w:keepNext/>
        <w:spacing w:before="200" w:after="80"/>
      </w:pPr>
      <w:r>
        <w:rPr>
          <w:b/>
          <w:bCs/>
          <w:color w:val="1A5FB4"/>
        </w:rPr>
        <w:t xml:space="preserve">Frage 2:  </w:t>
      </w:r>
      <w:r>
        <w:rPr>
          <w:b/>
          <w:bCs/>
        </w:rPr>
        <w:t>Ist der Anwendungsbereich der KI-VO eröffnet oder greift eine Bereichsausnahme (Art. 2, Art. 111 Abs. 2 KI-VO)?</w:t>
      </w:r>
    </w:p>
    <w:p w14:paraId="2B3CA14C" w14:textId="77777777" w:rsidR="006D4FF4" w:rsidRDefault="00000000">
      <w:pPr>
        <w:spacing w:after="100"/>
      </w:pPr>
      <w:r>
        <w:t>Ja, eröffnet. Art. 111 Abs. 2 KI-VO hilft nicht: Das Nachtraining und die Zweckänderung sind eine wesentliche Änderung der Systemkonzeption, sodass ein etwaiger Bestandsschutz entfällt.</w:t>
      </w:r>
    </w:p>
    <w:p w14:paraId="5004AE02" w14:textId="77777777" w:rsidR="006D4FF4" w:rsidRPr="005F785E" w:rsidRDefault="00000000">
      <w:pPr>
        <w:keepNext/>
        <w:spacing w:before="200" w:after="80"/>
        <w:rPr>
          <w:color w:val="000000" w:themeColor="text1"/>
        </w:rPr>
      </w:pPr>
      <w:r>
        <w:rPr>
          <w:b/>
          <w:bCs/>
          <w:color w:val="1A5FB4"/>
        </w:rPr>
        <w:t xml:space="preserve">Frage 3:  </w:t>
      </w:r>
      <w:r>
        <w:rPr>
          <w:b/>
          <w:bCs/>
        </w:rPr>
        <w:t xml:space="preserve">In welcher Rolle handelt die Behörde (Art. 3 Nr. 3, Nr. 4 KI-VO)? Kommt ein </w:t>
      </w:r>
      <w:r w:rsidRPr="005F785E">
        <w:rPr>
          <w:b/>
          <w:bCs/>
          <w:color w:val="000000" w:themeColor="text1"/>
        </w:rPr>
        <w:t>Rollenwechsel zum Anbieter nach Art. 25 KI-VO in Betracht?</w:t>
      </w:r>
    </w:p>
    <w:p w14:paraId="5E9474EA" w14:textId="77777777" w:rsidR="006D4FF4" w:rsidRPr="005F785E" w:rsidRDefault="00000000">
      <w:pPr>
        <w:spacing w:after="100"/>
        <w:rPr>
          <w:color w:val="000000" w:themeColor="text1"/>
        </w:rPr>
      </w:pPr>
      <w:r w:rsidRPr="005F785E">
        <w:rPr>
          <w:color w:val="000000" w:themeColor="text1"/>
        </w:rPr>
        <w:t>Die Stadt wird durch die Zweckänderung zur Anbieterin nach Art. 25 Abs. 1 Buchst. c KI-VO: Ein zuvor nicht hochriskantes System wird zum Hochrisiko-System umgewidmet. Die Buchstaben a und b greifen nicht automatisch zusätzlich, weil sie ein bereits in Verkehr gebrachtes oder in Betrieb genommenes Hochrisiko-System voraussetzen. Nachtraining und eigener Name können je nach Reihenfolge und Ausgestaltung außerdem für eine unmittelbare Anbieterstellung nach Art. 3 Nr. 3 sprechen. Es gelten die Anbieterpflichten nach Art. 16 und die Anforderungen an Hochrisiko-Systeme.</w:t>
      </w:r>
    </w:p>
    <w:p w14:paraId="00562E52" w14:textId="77777777" w:rsidR="006D4FF4" w:rsidRDefault="00000000">
      <w:pPr>
        <w:keepNext/>
        <w:spacing w:before="200" w:after="80"/>
      </w:pPr>
      <w:r>
        <w:rPr>
          <w:b/>
          <w:bCs/>
          <w:color w:val="1A5FB4"/>
        </w:rPr>
        <w:t xml:space="preserve">Frage 4:  </w:t>
      </w:r>
      <w:r>
        <w:rPr>
          <w:b/>
          <w:bCs/>
        </w:rPr>
        <w:t>Wie lautet die Zweckbestimmung (Art. 3 Nr. 12 KI-VO), und weicht die tatsächlich beabsichtigte Verwendung davon ab?</w:t>
      </w:r>
    </w:p>
    <w:p w14:paraId="053BB631" w14:textId="77777777" w:rsidR="006D4FF4" w:rsidRDefault="00000000">
      <w:pPr>
        <w:spacing w:after="100"/>
      </w:pPr>
      <w:r>
        <w:t>Zweckbestimmung des Herstellers: Prozesslaufzeitanalyse ohne Personenbezug. Die beabsichtigte Verwendung weicht davon fundamental ab: individuelle Leistungsbewertung. Genau diese Abweichung löst die Rechtsfolgen aus.</w:t>
      </w:r>
    </w:p>
    <w:p w14:paraId="5EC92455" w14:textId="77777777" w:rsidR="006D4FF4" w:rsidRDefault="00000000">
      <w:pPr>
        <w:keepNext/>
        <w:spacing w:before="200" w:after="80"/>
      </w:pPr>
      <w:r>
        <w:rPr>
          <w:b/>
          <w:bCs/>
          <w:color w:val="1A5FB4"/>
        </w:rPr>
        <w:t xml:space="preserve">Frage 5:  </w:t>
      </w:r>
      <w:r>
        <w:rPr>
          <w:b/>
          <w:bCs/>
        </w:rPr>
        <w:t>Liegt eine verbotene Praktik nach Art. 5 KI-VO vor? Welcher Buchstabe kommt in Betracht, und welche Abgrenzung ist zu treffen?</w:t>
      </w:r>
    </w:p>
    <w:p w14:paraId="6583B15F" w14:textId="77777777" w:rsidR="006D4FF4" w:rsidRDefault="00000000">
      <w:pPr>
        <w:spacing w:after="100"/>
      </w:pPr>
      <w:r>
        <w:t xml:space="preserve">Nein, kein Verbot nach Art. 5 KI-VO. Eine soziale Bewertung nach </w:t>
      </w:r>
      <w:proofErr w:type="spellStart"/>
      <w:r>
        <w:t>lit</w:t>
      </w:r>
      <w:proofErr w:type="spellEnd"/>
      <w:r>
        <w:t>. c setzt eine Bewertung in unzusammenhängenden Kontexten voraus; hier bleibt die Auswertung im Beschäftigungskontext. Zu diskutieren ist, ob eine Ausweitung auf Verhaltensdaten außerhalb der Arbeitsleistung die Schwelle überschreiten würde.</w:t>
      </w:r>
    </w:p>
    <w:p w14:paraId="08387111" w14:textId="77777777" w:rsidR="006D4FF4" w:rsidRDefault="00000000">
      <w:pPr>
        <w:keepNext/>
        <w:spacing w:before="200" w:after="80"/>
      </w:pPr>
      <w:r>
        <w:rPr>
          <w:b/>
          <w:bCs/>
          <w:color w:val="1A5FB4"/>
        </w:rPr>
        <w:t xml:space="preserve">Frage 6:  </w:t>
      </w:r>
      <w:r>
        <w:rPr>
          <w:b/>
          <w:bCs/>
        </w:rPr>
        <w:t>Liegt ein Hochrisiko-Fall nach Art. 6 Abs. 1 i. V. m. Anhang I oder nach Art. 6 Abs. 2 i. V. m. Anhang III vor? Benennen Sie den konkreten Tatbestand.</w:t>
      </w:r>
    </w:p>
    <w:p w14:paraId="78564DB3" w14:textId="77777777" w:rsidR="006D4FF4" w:rsidRDefault="00000000">
      <w:pPr>
        <w:spacing w:after="100"/>
      </w:pPr>
      <w:r>
        <w:t xml:space="preserve">Ja: Anhang III Nr. 4 </w:t>
      </w:r>
      <w:proofErr w:type="spellStart"/>
      <w:r>
        <w:t>lit</w:t>
      </w:r>
      <w:proofErr w:type="spellEnd"/>
      <w:r>
        <w:t>. b KI-VO – Überwachung und Bewertung der Leistung im Arbeitsverhältnis sowie Entscheidungen über Beförderung und Vertragsbedingungen, da der Indikator in die Mitarbeitergespräche einfließt.</w:t>
      </w:r>
    </w:p>
    <w:p w14:paraId="21EFB288" w14:textId="77777777" w:rsidR="006D4FF4" w:rsidRDefault="00000000">
      <w:pPr>
        <w:keepNext/>
        <w:spacing w:before="200" w:after="80"/>
      </w:pPr>
      <w:r>
        <w:rPr>
          <w:b/>
          <w:bCs/>
          <w:color w:val="1A5FB4"/>
        </w:rPr>
        <w:lastRenderedPageBreak/>
        <w:t xml:space="preserve">Frage 7:  </w:t>
      </w:r>
      <w:r>
        <w:rPr>
          <w:b/>
          <w:bCs/>
        </w:rPr>
        <w:t>Greift die Ausnahme des Art. 6 Abs. 3 KI-VO? Welche Folgepflichten bestehen auch dann (Art. 6 Abs. 4, Art. 49 Abs. 2 KI-VO)?</w:t>
      </w:r>
    </w:p>
    <w:p w14:paraId="03A0D178" w14:textId="77777777" w:rsidR="006D4FF4" w:rsidRDefault="00000000">
      <w:pPr>
        <w:spacing w:after="100"/>
      </w:pPr>
      <w:r>
        <w:t xml:space="preserve">Nein. Das System bewertet Personen und nimmt damit ein Profiling vor; der Ausschlussgrund des Art. 6 Abs. 3 </w:t>
      </w:r>
      <w:proofErr w:type="spellStart"/>
      <w:r>
        <w:t>UAbs</w:t>
      </w:r>
      <w:proofErr w:type="spellEnd"/>
      <w:r>
        <w:t>. 2 KI-VO greift.</w:t>
      </w:r>
    </w:p>
    <w:p w14:paraId="4B9095B3" w14:textId="77777777" w:rsidR="006D4FF4" w:rsidRDefault="00000000">
      <w:pPr>
        <w:keepNext/>
        <w:spacing w:before="200" w:after="80"/>
      </w:pPr>
      <w:r>
        <w:rPr>
          <w:b/>
          <w:bCs/>
          <w:color w:val="1A5FB4"/>
        </w:rPr>
        <w:t xml:space="preserve">Frage 8:  </w:t>
      </w:r>
      <w:r>
        <w:rPr>
          <w:b/>
          <w:bCs/>
        </w:rPr>
        <w:t>Welche Risikoklasse ergibt sich als Ergebnis, und ab welchem Zeitpunkt gelten die Pflichten?</w:t>
      </w:r>
    </w:p>
    <w:p w14:paraId="04CBDB35" w14:textId="77777777" w:rsidR="006D4FF4" w:rsidRDefault="00000000">
      <w:pPr>
        <w:spacing w:after="100"/>
      </w:pPr>
      <w:r>
        <w:t xml:space="preserve">Hochrisiko-KI-System nach Anhang III Nr. 4 </w:t>
      </w:r>
      <w:proofErr w:type="spellStart"/>
      <w:r>
        <w:t>lit</w:t>
      </w:r>
      <w:proofErr w:type="spellEnd"/>
      <w:r>
        <w:t>. b KI-VO, zugleich Anbieterstellung der Stadt. Pflichten ab dem 2. Dezember 2027; die Anbieterpflichten sind vor dem Inverkehrbringen bzw. der Inbetriebnahme zu erfüllen.</w:t>
      </w:r>
    </w:p>
    <w:p w14:paraId="1BA5384E" w14:textId="77777777" w:rsidR="006D4FF4" w:rsidRDefault="00000000">
      <w:pPr>
        <w:keepNext/>
        <w:spacing w:before="200" w:after="80"/>
      </w:pPr>
      <w:r>
        <w:rPr>
          <w:b/>
          <w:bCs/>
          <w:color w:val="1A5FB4"/>
        </w:rPr>
        <w:t xml:space="preserve">Frage 9:  </w:t>
      </w:r>
      <w:r>
        <w:rPr>
          <w:b/>
          <w:bCs/>
        </w:rPr>
        <w:t>Welche konkreten Maßnahmen und Pflichten treffen die Behörde (insbesondere Art. 26, 27, 49, 86 KI-VO bzw. Anbieterpflichten)? Wer ist in Ihrem Haus jeweils zuständig?</w:t>
      </w:r>
    </w:p>
    <w:p w14:paraId="2C6DB6B8" w14:textId="77777777" w:rsidR="006D4FF4" w:rsidRDefault="00000000">
      <w:pPr>
        <w:spacing w:after="100"/>
      </w:pPr>
      <w:r>
        <w:t>Als Anbieter: Risikomanagementsystem (Art. 9), Daten-Governance (Art. 10), technische Dokumentation (Art. 11), Protokollierung (Art. 12), Transparenz und Betriebsanleitung (Art. 13), menschliche Aufsicht (Art. 14), Genauigkeit, Robustheit, Cybersicherheit (Art. 15), Qualitätsmanagementsystem (Art. 17), Konformitätsbewertung und EU-Konformitätserklärung, CE-Kennzeichnung, Registrierung (Art. 49 Abs. 1). Zusätzlich als Betreiber Art. 26 und Art. 27 KI-VO. Realistische Empfehlung für den Kurs: Das Vorhaben in dieser Form nicht umsetzen, sondern auf eine aggregierte, nicht personenbezogene Auswertung zurückführen.</w:t>
      </w:r>
    </w:p>
    <w:p w14:paraId="08077508" w14:textId="77777777" w:rsidR="006D4FF4" w:rsidRDefault="00000000">
      <w:pPr>
        <w:keepNext/>
        <w:spacing w:before="200" w:after="80"/>
      </w:pPr>
      <w:r>
        <w:rPr>
          <w:b/>
          <w:bCs/>
          <w:color w:val="1A5FB4"/>
        </w:rPr>
        <w:t xml:space="preserve">Frage 10:  </w:t>
      </w:r>
      <w:r>
        <w:rPr>
          <w:b/>
          <w:bCs/>
        </w:rPr>
        <w:t>Welche Transparenzpflichten nach Art. 50 KI-VO und welche flankierenden Prüfungen (Datenschutz, Personalvertretung, Verwaltungsverfahren, IT-Sicherheit, Vergabe, Geheimnisschutz) sind zu veranlassen?</w:t>
      </w:r>
    </w:p>
    <w:p w14:paraId="212172A0" w14:textId="77777777" w:rsidR="006D4FF4" w:rsidRDefault="00000000">
      <w:pPr>
        <w:spacing w:after="100"/>
      </w:pPr>
      <w:r>
        <w:t>Art. 50 KI-VO nicht einschlägig. Flankierend und hier ausschlaggebend: Mitbestimmung des Personalrats bei technischen Einrichtungen zur Überwachung von Leistung und Verhalten sowie die Informationspflicht nach Art. 26 Abs. 7 KI-VO – beide wurden verletzt; Rechtsgrundlage für die Beschäftigtendatenverarbeitung, Datenschutz-Folgenabschätzung, Art. 22 DSGVO, Beteiligung der oder des Datenschutzbeauftragten, arbeits- und dienstrechtliche Bewertung des Leistungsindikators.</w:t>
      </w:r>
    </w:p>
    <w:p w14:paraId="1B3718E1" w14:textId="77777777" w:rsidR="006D4FF4" w:rsidRDefault="00000000">
      <w:pPr>
        <w:pStyle w:val="berschrift2"/>
        <w:keepNext/>
        <w:spacing w:before="280" w:after="140"/>
      </w:pPr>
      <w:bookmarkStart w:id="25" w:name="_Toc240325012"/>
      <w:r>
        <w:rPr>
          <w:b/>
          <w:bCs/>
          <w:color w:val="1A5FB4"/>
          <w:sz w:val="25"/>
          <w:szCs w:val="25"/>
        </w:rPr>
        <w:t>Stolpersteine und Diskussionsimpulse</w:t>
      </w:r>
      <w:bookmarkEnd w:id="25"/>
    </w:p>
    <w:p w14:paraId="2BC21E6C" w14:textId="77777777" w:rsidR="006D4FF4" w:rsidRPr="005F785E" w:rsidRDefault="00000000">
      <w:pPr>
        <w:pStyle w:val="Listenabsatz"/>
        <w:numPr>
          <w:ilvl w:val="0"/>
          <w:numId w:val="2"/>
        </w:numPr>
        <w:spacing w:after="60"/>
        <w:rPr>
          <w:color w:val="000000" w:themeColor="text1"/>
        </w:rPr>
      </w:pPr>
      <w:r w:rsidRPr="005F785E">
        <w:rPr>
          <w:color w:val="000000" w:themeColor="text1"/>
        </w:rPr>
        <w:t>Der Fall wird häufig nur datenschutzrechtlich gelöst. Der Kern ist der Rollenwechsel: Durch die hochrisikobegründende Zweckänderung wird die Stadt nach Art. 25 Abs. 1 Buchst. c zur Anbieterin.</w:t>
      </w:r>
    </w:p>
    <w:p w14:paraId="5115CEEE" w14:textId="77777777" w:rsidR="006D4FF4" w:rsidRPr="005F785E" w:rsidRDefault="00000000">
      <w:pPr>
        <w:pStyle w:val="Listenabsatz"/>
        <w:numPr>
          <w:ilvl w:val="0"/>
          <w:numId w:val="2"/>
        </w:numPr>
        <w:spacing w:after="60"/>
        <w:rPr>
          <w:color w:val="000000" w:themeColor="text1"/>
        </w:rPr>
      </w:pPr>
      <w:r w:rsidRPr="005F785E">
        <w:rPr>
          <w:color w:val="000000" w:themeColor="text1"/>
        </w:rPr>
        <w:t>Die drei Tatbestände des Art. 25 Abs. 1 KI-VO einzeln durchgehen lassen: Buchstabe c greift sicher; bei a und b fehlt im Ausgangspunkt ein bereits hochriskantes System.</w:t>
      </w:r>
    </w:p>
    <w:p w14:paraId="4CB0550E" w14:textId="77777777" w:rsidR="006D4FF4" w:rsidRPr="005F785E" w:rsidRDefault="00000000">
      <w:pPr>
        <w:pStyle w:val="Listenabsatz"/>
        <w:numPr>
          <w:ilvl w:val="0"/>
          <w:numId w:val="2"/>
        </w:numPr>
        <w:spacing w:after="60"/>
        <w:rPr>
          <w:color w:val="000000" w:themeColor="text1"/>
        </w:rPr>
      </w:pPr>
      <w:r w:rsidRPr="005F785E">
        <w:rPr>
          <w:color w:val="000000" w:themeColor="text1"/>
        </w:rPr>
        <w:t>Gute Abschlussfrage: Warum genügt hier die Zweckänderung nach Buchstabe c, während Buchstaben a und b tatbestandlich ein bereits hochriskantes System voraussetzen?</w:t>
      </w:r>
    </w:p>
    <w:p w14:paraId="23BBD6B3" w14:textId="77777777" w:rsidR="006D4FF4" w:rsidRPr="005F785E" w:rsidRDefault="00000000">
      <w:pPr>
        <w:pBdr>
          <w:top w:val="single" w:sz="6" w:space="0" w:color="1A5FB4"/>
          <w:left w:val="single" w:sz="18" w:space="0" w:color="1A5FB4"/>
          <w:bottom w:val="single" w:sz="6" w:space="0" w:color="1A5FB4"/>
          <w:right w:val="single" w:sz="6" w:space="0" w:color="1A5FB4"/>
        </w:pBdr>
        <w:shd w:val="clear" w:color="auto" w:fill="EAF1FB"/>
        <w:spacing w:before="160"/>
        <w:rPr>
          <w:color w:val="000000" w:themeColor="text1"/>
        </w:rPr>
      </w:pPr>
      <w:r w:rsidRPr="005F785E">
        <w:rPr>
          <w:b/>
          <w:bCs/>
          <w:color w:val="000000" w:themeColor="text1"/>
        </w:rPr>
        <w:t>Ergebnis in einem Satz</w:t>
      </w:r>
    </w:p>
    <w:p w14:paraId="782857FB" w14:textId="77777777" w:rsidR="006D4FF4" w:rsidRPr="005F785E" w:rsidRDefault="00000000">
      <w:pPr>
        <w:pBdr>
          <w:left w:val="single" w:sz="18" w:space="0" w:color="1A5FB4"/>
          <w:bottom w:val="single" w:sz="6" w:space="0" w:color="1A5FB4"/>
          <w:right w:val="single" w:sz="6" w:space="0" w:color="1A5FB4"/>
        </w:pBdr>
        <w:shd w:val="clear" w:color="auto" w:fill="EAF1FB"/>
        <w:spacing w:after="160"/>
        <w:rPr>
          <w:color w:val="000000" w:themeColor="text1"/>
        </w:rPr>
      </w:pPr>
      <w:r w:rsidRPr="005F785E">
        <w:rPr>
          <w:color w:val="000000" w:themeColor="text1"/>
          <w:sz w:val="20"/>
        </w:rPr>
        <w:t>Hochrisiko nach Anhang III Nr. 4 Buchst. b KI-VO und Rollenwechsel zur Anbieterin jedenfalls nach Art. 25 Abs. 1 Buchst. c KI-VO.</w:t>
      </w:r>
    </w:p>
    <w:p w14:paraId="3EC438E9" w14:textId="77777777" w:rsidR="006D4FF4" w:rsidRDefault="00000000">
      <w:r>
        <w:br w:type="page"/>
      </w:r>
    </w:p>
    <w:p w14:paraId="08C81EBC" w14:textId="77777777" w:rsidR="006D4FF4" w:rsidRDefault="00000000">
      <w:pPr>
        <w:pStyle w:val="berschrift1"/>
        <w:keepNext/>
        <w:spacing w:before="360" w:after="180"/>
      </w:pPr>
      <w:bookmarkStart w:id="26" w:name="_Toc240325013"/>
      <w:r>
        <w:rPr>
          <w:b/>
          <w:bCs/>
          <w:color w:val="1A5FB4"/>
          <w:sz w:val="30"/>
          <w:szCs w:val="30"/>
        </w:rPr>
        <w:lastRenderedPageBreak/>
        <w:t>Prüffall 8 – Übersetzung auf dem privaten Account</w:t>
      </w:r>
      <w:bookmarkEnd w:id="26"/>
    </w:p>
    <w:tbl>
      <w:tblPr>
        <w:tblW w:w="9638"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2200"/>
        <w:gridCol w:w="7438"/>
      </w:tblGrid>
      <w:tr w:rsidR="006D4FF4" w14:paraId="057C101C" w14:textId="77777777">
        <w:tblPrEx>
          <w:tblCellMar>
            <w:top w:w="0" w:type="dxa"/>
            <w:bottom w:w="0" w:type="dxa"/>
          </w:tblCellMar>
        </w:tblPrEx>
        <w:trPr>
          <w:tblHeader/>
        </w:trPr>
        <w:tc>
          <w:tcPr>
            <w:tcW w:w="2200" w:type="dxa"/>
            <w:shd w:val="clear" w:color="auto" w:fill="1A5FB4"/>
            <w:tcMar>
              <w:top w:w="60" w:type="dxa"/>
              <w:left w:w="100" w:type="dxa"/>
              <w:bottom w:w="60" w:type="dxa"/>
              <w:right w:w="100" w:type="dxa"/>
            </w:tcMar>
          </w:tcPr>
          <w:p w14:paraId="004FCED8" w14:textId="77777777" w:rsidR="006D4FF4" w:rsidRDefault="00000000">
            <w:pPr>
              <w:spacing w:before="40" w:after="40" w:line="252" w:lineRule="auto"/>
            </w:pPr>
            <w:r>
              <w:rPr>
                <w:b/>
                <w:bCs/>
                <w:color w:val="FFFFFF"/>
                <w:sz w:val="19"/>
                <w:szCs w:val="19"/>
              </w:rPr>
              <w:t>Merkmal</w:t>
            </w:r>
          </w:p>
        </w:tc>
        <w:tc>
          <w:tcPr>
            <w:tcW w:w="7438" w:type="dxa"/>
            <w:shd w:val="clear" w:color="auto" w:fill="1A5FB4"/>
            <w:tcMar>
              <w:top w:w="60" w:type="dxa"/>
              <w:left w:w="100" w:type="dxa"/>
              <w:bottom w:w="60" w:type="dxa"/>
              <w:right w:w="100" w:type="dxa"/>
            </w:tcMar>
          </w:tcPr>
          <w:p w14:paraId="10BEDEF5" w14:textId="77777777" w:rsidR="006D4FF4" w:rsidRDefault="00000000">
            <w:pPr>
              <w:spacing w:before="40" w:after="40" w:line="252" w:lineRule="auto"/>
            </w:pPr>
            <w:r>
              <w:rPr>
                <w:b/>
                <w:bCs/>
                <w:color w:val="FFFFFF"/>
                <w:sz w:val="19"/>
                <w:szCs w:val="19"/>
              </w:rPr>
              <w:t>Angabe</w:t>
            </w:r>
          </w:p>
        </w:tc>
      </w:tr>
      <w:tr w:rsidR="006D4FF4" w14:paraId="409AE586" w14:textId="77777777">
        <w:tblPrEx>
          <w:tblCellMar>
            <w:top w:w="0" w:type="dxa"/>
            <w:bottom w:w="0" w:type="dxa"/>
          </w:tblCellMar>
        </w:tblPrEx>
        <w:tc>
          <w:tcPr>
            <w:tcW w:w="2200" w:type="dxa"/>
            <w:tcMar>
              <w:top w:w="60" w:type="dxa"/>
              <w:left w:w="100" w:type="dxa"/>
              <w:bottom w:w="60" w:type="dxa"/>
              <w:right w:w="100" w:type="dxa"/>
            </w:tcMar>
          </w:tcPr>
          <w:p w14:paraId="0382BF60" w14:textId="77777777" w:rsidR="006D4FF4" w:rsidRDefault="00000000">
            <w:pPr>
              <w:spacing w:before="40" w:after="40" w:line="252" w:lineRule="auto"/>
            </w:pPr>
            <w:r>
              <w:rPr>
                <w:sz w:val="19"/>
                <w:szCs w:val="19"/>
              </w:rPr>
              <w:t>Schwerpunkt</w:t>
            </w:r>
          </w:p>
        </w:tc>
        <w:tc>
          <w:tcPr>
            <w:tcW w:w="7438" w:type="dxa"/>
            <w:tcMar>
              <w:top w:w="60" w:type="dxa"/>
              <w:left w:w="100" w:type="dxa"/>
              <w:bottom w:w="60" w:type="dxa"/>
              <w:right w:w="100" w:type="dxa"/>
            </w:tcMar>
          </w:tcPr>
          <w:p w14:paraId="49F46A32" w14:textId="77777777" w:rsidR="006D4FF4" w:rsidRDefault="00000000">
            <w:pPr>
              <w:spacing w:before="40" w:after="40" w:line="252" w:lineRule="auto"/>
            </w:pPr>
            <w:r>
              <w:rPr>
                <w:sz w:val="19"/>
                <w:szCs w:val="19"/>
              </w:rPr>
              <w:t>Minimales Risiko – und Schatten-KI</w:t>
            </w:r>
          </w:p>
        </w:tc>
      </w:tr>
      <w:tr w:rsidR="006D4FF4" w14:paraId="44FE0B45" w14:textId="77777777">
        <w:tblPrEx>
          <w:tblCellMar>
            <w:top w:w="0" w:type="dxa"/>
            <w:bottom w:w="0" w:type="dxa"/>
          </w:tblCellMar>
        </w:tblPrEx>
        <w:tc>
          <w:tcPr>
            <w:tcW w:w="2200" w:type="dxa"/>
            <w:shd w:val="clear" w:color="auto" w:fill="FAFAFA"/>
            <w:tcMar>
              <w:top w:w="60" w:type="dxa"/>
              <w:left w:w="100" w:type="dxa"/>
              <w:bottom w:w="60" w:type="dxa"/>
              <w:right w:w="100" w:type="dxa"/>
            </w:tcMar>
          </w:tcPr>
          <w:p w14:paraId="11641E2C" w14:textId="77777777" w:rsidR="006D4FF4" w:rsidRDefault="00000000">
            <w:pPr>
              <w:spacing w:before="40" w:after="40" w:line="252" w:lineRule="auto"/>
            </w:pPr>
            <w:r>
              <w:rPr>
                <w:sz w:val="19"/>
                <w:szCs w:val="19"/>
              </w:rPr>
              <w:t>Lernziel</w:t>
            </w:r>
          </w:p>
        </w:tc>
        <w:tc>
          <w:tcPr>
            <w:tcW w:w="7438" w:type="dxa"/>
            <w:shd w:val="clear" w:color="auto" w:fill="FAFAFA"/>
            <w:tcMar>
              <w:top w:w="60" w:type="dxa"/>
              <w:left w:w="100" w:type="dxa"/>
              <w:bottom w:w="60" w:type="dxa"/>
              <w:right w:w="100" w:type="dxa"/>
            </w:tcMar>
          </w:tcPr>
          <w:p w14:paraId="48E64551" w14:textId="77777777" w:rsidR="006D4FF4" w:rsidRDefault="00000000">
            <w:pPr>
              <w:spacing w:before="40" w:after="40" w:line="252" w:lineRule="auto"/>
            </w:pPr>
            <w:r>
              <w:rPr>
                <w:sz w:val="19"/>
                <w:szCs w:val="19"/>
              </w:rPr>
              <w:t>Verstehen, dass minimales Risiko nach der KI-VO nicht Pflichtenfreiheit bedeutet.</w:t>
            </w:r>
          </w:p>
        </w:tc>
      </w:tr>
      <w:tr w:rsidR="006D4FF4" w14:paraId="18681AD2" w14:textId="77777777">
        <w:tblPrEx>
          <w:tblCellMar>
            <w:top w:w="0" w:type="dxa"/>
            <w:bottom w:w="0" w:type="dxa"/>
          </w:tblCellMar>
        </w:tblPrEx>
        <w:tc>
          <w:tcPr>
            <w:tcW w:w="2200" w:type="dxa"/>
            <w:tcMar>
              <w:top w:w="60" w:type="dxa"/>
              <w:left w:w="100" w:type="dxa"/>
              <w:bottom w:w="60" w:type="dxa"/>
              <w:right w:w="100" w:type="dxa"/>
            </w:tcMar>
          </w:tcPr>
          <w:p w14:paraId="61031D8C" w14:textId="77777777" w:rsidR="006D4FF4" w:rsidRDefault="00000000">
            <w:pPr>
              <w:spacing w:before="40" w:after="40" w:line="252" w:lineRule="auto"/>
            </w:pPr>
            <w:r>
              <w:rPr>
                <w:sz w:val="19"/>
                <w:szCs w:val="19"/>
              </w:rPr>
              <w:t>Ergebnis</w:t>
            </w:r>
          </w:p>
        </w:tc>
        <w:tc>
          <w:tcPr>
            <w:tcW w:w="7438" w:type="dxa"/>
            <w:tcMar>
              <w:top w:w="60" w:type="dxa"/>
              <w:left w:w="100" w:type="dxa"/>
              <w:bottom w:w="60" w:type="dxa"/>
              <w:right w:w="100" w:type="dxa"/>
            </w:tcMar>
          </w:tcPr>
          <w:p w14:paraId="4F9168A3" w14:textId="77777777" w:rsidR="006D4FF4" w:rsidRDefault="00000000">
            <w:pPr>
              <w:spacing w:before="40" w:after="40" w:line="252" w:lineRule="auto"/>
            </w:pPr>
            <w:r>
              <w:rPr>
                <w:sz w:val="19"/>
                <w:szCs w:val="19"/>
              </w:rPr>
              <w:t>Minimales Risiko nach der KI-VO, aber erhebliche Verstöße gegen Datenschutz- und Geheimnisschutzrecht.</w:t>
            </w:r>
          </w:p>
        </w:tc>
      </w:tr>
    </w:tbl>
    <w:p w14:paraId="6CD9A974" w14:textId="77777777" w:rsidR="006D4FF4" w:rsidRDefault="006D4FF4">
      <w:pPr>
        <w:spacing w:after="140"/>
      </w:pPr>
    </w:p>
    <w:p w14:paraId="79A7D1DB" w14:textId="77777777" w:rsidR="006D4FF4" w:rsidRDefault="00000000">
      <w:pPr>
        <w:pStyle w:val="berschrift2"/>
        <w:keepNext/>
        <w:spacing w:before="280" w:after="140"/>
      </w:pPr>
      <w:bookmarkStart w:id="27" w:name="_Toc240325014"/>
      <w:r>
        <w:rPr>
          <w:b/>
          <w:bCs/>
          <w:color w:val="1A5FB4"/>
          <w:sz w:val="25"/>
          <w:szCs w:val="25"/>
        </w:rPr>
        <w:t>Musterlösung</w:t>
      </w:r>
      <w:bookmarkEnd w:id="27"/>
    </w:p>
    <w:p w14:paraId="362AA80F" w14:textId="77777777" w:rsidR="006D4FF4" w:rsidRDefault="00000000">
      <w:pPr>
        <w:keepNext/>
        <w:spacing w:before="200" w:after="80"/>
      </w:pPr>
      <w:r>
        <w:rPr>
          <w:b/>
          <w:bCs/>
          <w:color w:val="1A5FB4"/>
        </w:rPr>
        <w:t xml:space="preserve">Frage 1:  </w:t>
      </w:r>
      <w:r>
        <w:rPr>
          <w:b/>
          <w:bCs/>
        </w:rPr>
        <w:t>Liegt ein KI-System im Sinne des Art. 3 Nr. 1 KI-VO vor? Begründen Sie anhand der einzelnen Begriffsmerkmale.</w:t>
      </w:r>
    </w:p>
    <w:p w14:paraId="1D7E17B3" w14:textId="77777777" w:rsidR="006D4FF4" w:rsidRDefault="00000000">
      <w:pPr>
        <w:spacing w:after="100"/>
      </w:pPr>
      <w:r>
        <w:t>Ja. Der Dienst ist ein KI-System mit allgemeinem Verwendungszweck im Sinne des Art. 3 Nr. 66 KI-VO.</w:t>
      </w:r>
    </w:p>
    <w:p w14:paraId="095FF61D" w14:textId="77777777" w:rsidR="006D4FF4" w:rsidRDefault="00000000">
      <w:pPr>
        <w:keepNext/>
        <w:spacing w:before="200" w:after="80"/>
      </w:pPr>
      <w:r>
        <w:rPr>
          <w:b/>
          <w:bCs/>
          <w:color w:val="1A5FB4"/>
        </w:rPr>
        <w:t xml:space="preserve">Frage 2:  </w:t>
      </w:r>
      <w:r>
        <w:rPr>
          <w:b/>
          <w:bCs/>
        </w:rPr>
        <w:t>Ist der Anwendungsbereich der KI-VO eröffnet oder greift eine Bereichsausnahme (Art. 2, Art. 111 Abs. 2 KI-VO)?</w:t>
      </w:r>
    </w:p>
    <w:p w14:paraId="41715FF9" w14:textId="77777777" w:rsidR="006D4FF4" w:rsidRDefault="00000000">
      <w:pPr>
        <w:spacing w:after="100"/>
      </w:pPr>
      <w:r>
        <w:t>Ja, eröffnet. Besonders lehrreich ist Art. 2 Abs. 10 KI-VO: Die Ausnahme für die rein persönliche, nicht berufliche Tätigkeit natürlicher Personen greift gerade nicht, weil die Nutzung dienstlichen Zwecken dient. Der private Account ändert daran nichts – die Stadt bleibt verantwortlich.</w:t>
      </w:r>
    </w:p>
    <w:p w14:paraId="357B9818" w14:textId="77777777" w:rsidR="006D4FF4" w:rsidRDefault="00000000">
      <w:pPr>
        <w:keepNext/>
        <w:spacing w:before="200" w:after="80"/>
      </w:pPr>
      <w:r>
        <w:rPr>
          <w:b/>
          <w:bCs/>
          <w:color w:val="1A5FB4"/>
        </w:rPr>
        <w:t xml:space="preserve">Frage 3:  </w:t>
      </w:r>
      <w:r>
        <w:rPr>
          <w:b/>
          <w:bCs/>
        </w:rPr>
        <w:t>In welcher Rolle handelt die Behörde (Art. 3 Nr. 3, Nr. 4 KI-VO)? Kommt ein Rollenwechsel zum Anbieter nach Art. 25 KI-VO in Betracht?</w:t>
      </w:r>
    </w:p>
    <w:p w14:paraId="618692E1" w14:textId="77777777" w:rsidR="006D4FF4" w:rsidRDefault="00000000">
      <w:pPr>
        <w:spacing w:after="100"/>
      </w:pPr>
      <w:r>
        <w:t xml:space="preserve">Die Stadt ist Betreiberin, auch wenn sie das Werkzeug nicht </w:t>
      </w:r>
      <w:proofErr w:type="gramStart"/>
      <w:r>
        <w:t>beschafft</w:t>
      </w:r>
      <w:proofErr w:type="gramEnd"/>
      <w:r>
        <w:t xml:space="preserve"> hat: Sie duldet den Einsatz in ihrem Verantwortungsbereich. Kein Rollenwechsel nach Art. 25 KI-VO.</w:t>
      </w:r>
    </w:p>
    <w:p w14:paraId="02BDAA7E" w14:textId="77777777" w:rsidR="006D4FF4" w:rsidRDefault="00000000">
      <w:pPr>
        <w:keepNext/>
        <w:spacing w:before="200" w:after="80"/>
      </w:pPr>
      <w:r>
        <w:rPr>
          <w:b/>
          <w:bCs/>
          <w:color w:val="1A5FB4"/>
        </w:rPr>
        <w:t xml:space="preserve">Frage 4:  </w:t>
      </w:r>
      <w:r>
        <w:rPr>
          <w:b/>
          <w:bCs/>
        </w:rPr>
        <w:t>Wie lautet die Zweckbestimmung (Art. 3 Nr. 12 KI-VO), und weicht die tatsächlich beabsichtigte Verwendung davon ab?</w:t>
      </w:r>
    </w:p>
    <w:p w14:paraId="414254B4" w14:textId="77777777" w:rsidR="006D4FF4" w:rsidRDefault="00000000">
      <w:pPr>
        <w:spacing w:after="100"/>
      </w:pPr>
      <w:r>
        <w:t>Zweckbestimmung des Anbieters: allgemeine Textverarbeitung und Übersetzung. Die beabsichtigte Verwendung liegt innerhalb der Zweckbestimmung; das Problem liegt in den eingegebenen Daten, nicht im Zweck.</w:t>
      </w:r>
    </w:p>
    <w:p w14:paraId="28B84853" w14:textId="77777777" w:rsidR="006D4FF4" w:rsidRDefault="00000000">
      <w:pPr>
        <w:keepNext/>
        <w:spacing w:before="200" w:after="80"/>
      </w:pPr>
      <w:r>
        <w:rPr>
          <w:b/>
          <w:bCs/>
          <w:color w:val="1A5FB4"/>
        </w:rPr>
        <w:t xml:space="preserve">Frage 5:  </w:t>
      </w:r>
      <w:r>
        <w:rPr>
          <w:b/>
          <w:bCs/>
        </w:rPr>
        <w:t>Liegt eine verbotene Praktik nach Art. 5 KI-VO vor? Welcher Buchstabe kommt in Betracht, und welche Abgrenzung ist zu treffen?</w:t>
      </w:r>
    </w:p>
    <w:p w14:paraId="40BB54D8" w14:textId="77777777" w:rsidR="006D4FF4" w:rsidRDefault="00000000">
      <w:pPr>
        <w:spacing w:after="100"/>
      </w:pPr>
      <w:r>
        <w:t>Nein.</w:t>
      </w:r>
    </w:p>
    <w:p w14:paraId="6DB2C140" w14:textId="77777777" w:rsidR="006D4FF4" w:rsidRDefault="00000000">
      <w:pPr>
        <w:keepNext/>
        <w:spacing w:before="200" w:after="80"/>
      </w:pPr>
      <w:r>
        <w:rPr>
          <w:b/>
          <w:bCs/>
          <w:color w:val="1A5FB4"/>
        </w:rPr>
        <w:t xml:space="preserve">Frage 6:  </w:t>
      </w:r>
      <w:r>
        <w:rPr>
          <w:b/>
          <w:bCs/>
        </w:rPr>
        <w:t>Liegt ein Hochrisiko-Fall nach Art. 6 Abs. 1 i. V. m. Anhang I oder nach Art. 6 Abs. 2 i. V. m. Anhang III vor? Benennen Sie den konkreten Tatbestand.</w:t>
      </w:r>
    </w:p>
    <w:p w14:paraId="7DACABD5" w14:textId="77777777" w:rsidR="006D4FF4" w:rsidRDefault="00000000">
      <w:pPr>
        <w:spacing w:after="100"/>
      </w:pPr>
      <w:r>
        <w:t xml:space="preserve">Nein. Die Übersetzung eines Merkblatts ist keine Prüfung eines Antrags im Sinne des Anhangs III Nr. 7. Achtung bei der Abgrenzung: Würde der Dienst zur inhaltlichen Bewertung von Aufenthaltsanträgen eingesetzt, wäre Anhang III Nr. 7 </w:t>
      </w:r>
      <w:proofErr w:type="spellStart"/>
      <w:r>
        <w:t>lit</w:t>
      </w:r>
      <w:proofErr w:type="spellEnd"/>
      <w:r>
        <w:t>. b einschlägig und der Fall kippte in den Hochrisiko-Bereich.</w:t>
      </w:r>
    </w:p>
    <w:p w14:paraId="644906AF" w14:textId="77777777" w:rsidR="006D4FF4" w:rsidRDefault="00000000">
      <w:pPr>
        <w:keepNext/>
        <w:spacing w:before="200" w:after="80"/>
      </w:pPr>
      <w:r>
        <w:rPr>
          <w:b/>
          <w:bCs/>
          <w:color w:val="1A5FB4"/>
        </w:rPr>
        <w:t xml:space="preserve">Frage 7:  </w:t>
      </w:r>
      <w:r>
        <w:rPr>
          <w:b/>
          <w:bCs/>
        </w:rPr>
        <w:t>Greift die Ausnahme des Art. 6 Abs. 3 KI-VO? Welche Folgepflichten bestehen auch dann (Art. 6 Abs. 4, Art. 49 Abs. 2 KI-VO)?</w:t>
      </w:r>
    </w:p>
    <w:p w14:paraId="60924E99" w14:textId="77777777" w:rsidR="006D4FF4" w:rsidRDefault="00000000">
      <w:pPr>
        <w:spacing w:after="100"/>
      </w:pPr>
      <w:r>
        <w:t>Nicht einschlägig, weil kein Anhang-III-Fall vorliegt.</w:t>
      </w:r>
    </w:p>
    <w:p w14:paraId="67DE3A6B" w14:textId="77777777" w:rsidR="006D4FF4" w:rsidRDefault="00000000">
      <w:pPr>
        <w:keepNext/>
        <w:spacing w:before="200" w:after="80"/>
      </w:pPr>
      <w:r>
        <w:rPr>
          <w:b/>
          <w:bCs/>
          <w:color w:val="1A5FB4"/>
        </w:rPr>
        <w:t xml:space="preserve">Frage 8:  </w:t>
      </w:r>
      <w:r>
        <w:rPr>
          <w:b/>
          <w:bCs/>
        </w:rPr>
        <w:t>Welche Risikoklasse ergibt sich als Ergebnis, und ab welchem Zeitpunkt gelten die Pflichten?</w:t>
      </w:r>
    </w:p>
    <w:p w14:paraId="5373F7DB" w14:textId="77777777" w:rsidR="006D4FF4" w:rsidRDefault="00000000">
      <w:pPr>
        <w:spacing w:after="100"/>
      </w:pPr>
      <w:r>
        <w:t>Minimales Risiko nach der KI-VO. Art. 4 KI-VO gilt gleichwohl seit dem 2. Februar 2025.</w:t>
      </w:r>
    </w:p>
    <w:p w14:paraId="22F8765C" w14:textId="77777777" w:rsidR="006D4FF4" w:rsidRDefault="00000000">
      <w:pPr>
        <w:keepNext/>
        <w:spacing w:before="200" w:after="80"/>
      </w:pPr>
      <w:r>
        <w:rPr>
          <w:b/>
          <w:bCs/>
          <w:color w:val="1A5FB4"/>
        </w:rPr>
        <w:lastRenderedPageBreak/>
        <w:t xml:space="preserve">Frage 9:  </w:t>
      </w:r>
      <w:r>
        <w:rPr>
          <w:b/>
          <w:bCs/>
        </w:rPr>
        <w:t>Welche konkreten Maßnahmen und Pflichten treffen die Behörde (insbesondere Art. 26, 27, 49, 86 KI-VO bzw. Anbieterpflichten)? Wer ist in Ihrem Haus jeweils zuständig?</w:t>
      </w:r>
    </w:p>
    <w:p w14:paraId="30E16D2E" w14:textId="77777777" w:rsidR="006D4FF4" w:rsidRDefault="00000000">
      <w:pPr>
        <w:spacing w:after="100"/>
      </w:pPr>
      <w:r>
        <w:t>Nach der KI-VO: Maßnahmen zur Förderung der KI-Kompetenz (Art. 4 KI-VO) – Grundunterweisung, Schulungsregister. Organisatorisch dringend: Dienstanweisung mit einer Liste zugelassener Werkzeuge, Bereitstellung eines datenschutzkonformen Übersetzungsdienstes, Verbot der Eingabe personenbezogener und geheimhaltungsbedürftiger Daten in nicht freigegebene Dienste, Meldeweg für Auffälligkeiten.</w:t>
      </w:r>
    </w:p>
    <w:p w14:paraId="53265BAC" w14:textId="77777777" w:rsidR="006D4FF4" w:rsidRDefault="00000000">
      <w:pPr>
        <w:keepNext/>
        <w:spacing w:before="200" w:after="80"/>
      </w:pPr>
      <w:r>
        <w:rPr>
          <w:b/>
          <w:bCs/>
          <w:color w:val="1A5FB4"/>
        </w:rPr>
        <w:t xml:space="preserve">Frage 10:  </w:t>
      </w:r>
      <w:r>
        <w:rPr>
          <w:b/>
          <w:bCs/>
        </w:rPr>
        <w:t>Welche Transparenzpflichten nach Art. 50 KI-VO und welche flankierenden Prüfungen (Datenschutz, Personalvertretung, Verwaltungsverfahren, IT-Sicherheit, Vergabe, Geheimnisschutz) sind zu veranlassen?</w:t>
      </w:r>
    </w:p>
    <w:p w14:paraId="0197A6C9" w14:textId="77777777" w:rsidR="006D4FF4" w:rsidRDefault="00000000">
      <w:pPr>
        <w:spacing w:after="100"/>
      </w:pPr>
      <w:r>
        <w:t xml:space="preserve">Art. 50 KI-VO greift für die interne Nutzung nicht; werden übersetzte Texte veröffentlicht, ist Abs. 4 zu beachten. Das eigentliche Problem liegt außerhalb der KI-VO: Übermittlung personenbezogener Daten ohne Rechtsgrundlage an einen </w:t>
      </w:r>
      <w:proofErr w:type="spellStart"/>
      <w:r>
        <w:t>Drittlandsanbieter</w:t>
      </w:r>
      <w:proofErr w:type="spellEnd"/>
      <w:r>
        <w:t xml:space="preserve"> (Art. 6, Kapitel V DSGVO), fehlender Auftragsverarbeitungsvertrag, Verstoß gegen das Dienstgeheimnis und gegebenenfalls gegen besondere Geheimhaltungspflichten, Trainingsnutzung der Eingaben, fehlende Dokumentation im Verzeichnis der Verarbeitungstätigkeiten. Fazit für den Kurs: Die niedrigste Risikoklasse der KI-VO sagt nichts über das Gesamtrisiko aus.</w:t>
      </w:r>
    </w:p>
    <w:p w14:paraId="31E62392" w14:textId="77777777" w:rsidR="006D4FF4" w:rsidRDefault="00000000">
      <w:pPr>
        <w:pStyle w:val="berschrift2"/>
        <w:keepNext/>
        <w:spacing w:before="280" w:after="140"/>
      </w:pPr>
      <w:bookmarkStart w:id="28" w:name="_Toc240325015"/>
      <w:r>
        <w:rPr>
          <w:b/>
          <w:bCs/>
          <w:color w:val="1A5FB4"/>
          <w:sz w:val="25"/>
          <w:szCs w:val="25"/>
        </w:rPr>
        <w:t>Stolpersteine und Diskussionsimpulse</w:t>
      </w:r>
      <w:bookmarkEnd w:id="28"/>
    </w:p>
    <w:p w14:paraId="64EF5481" w14:textId="77777777" w:rsidR="006D4FF4" w:rsidRDefault="00000000">
      <w:pPr>
        <w:pStyle w:val="Listenabsatz"/>
        <w:numPr>
          <w:ilvl w:val="0"/>
          <w:numId w:val="2"/>
        </w:numPr>
        <w:spacing w:after="60"/>
      </w:pPr>
      <w:r>
        <w:t>Der Satz "das ist ja nur Übersetzung" ist der Einstieg in die Diskussion – die Risikoklasse ist niedrig, das Rechtsrisiko hoch.</w:t>
      </w:r>
    </w:p>
    <w:p w14:paraId="4C89D49B" w14:textId="77777777" w:rsidR="006D4FF4" w:rsidRDefault="00000000">
      <w:pPr>
        <w:pStyle w:val="Listenabsatz"/>
        <w:numPr>
          <w:ilvl w:val="0"/>
          <w:numId w:val="2"/>
        </w:numPr>
        <w:spacing w:after="60"/>
      </w:pPr>
      <w:r>
        <w:t>Art. 2 Abs. 10 KI-VO wird regelmäßig falsch als Freibrief für private Accounts gelesen.</w:t>
      </w:r>
    </w:p>
    <w:p w14:paraId="5EAE2A94" w14:textId="77777777" w:rsidR="006D4FF4" w:rsidRDefault="00000000">
      <w:pPr>
        <w:pStyle w:val="Listenabsatz"/>
        <w:numPr>
          <w:ilvl w:val="0"/>
          <w:numId w:val="2"/>
        </w:numPr>
        <w:spacing w:after="60"/>
      </w:pPr>
      <w:r>
        <w:t>Anschlussfrage: Welche organisatorische Maßnahme hätte den Fall verhindert? Antwort: ein bereitgestelltes, freigegebenes Werkzeug – Verbote allein erzeugen Schatten-KI.</w:t>
      </w:r>
    </w:p>
    <w:p w14:paraId="5AA45BA9" w14:textId="77777777" w:rsidR="006D4FF4" w:rsidRDefault="00000000">
      <w:pPr>
        <w:pBdr>
          <w:top w:val="single" w:sz="6" w:space="0" w:color="1A5FB4"/>
          <w:left w:val="single" w:sz="18" w:space="0" w:color="1A5FB4"/>
          <w:bottom w:val="single" w:sz="6" w:space="0" w:color="1A5FB4"/>
          <w:right w:val="single" w:sz="6" w:space="0" w:color="1A5FB4"/>
        </w:pBdr>
        <w:shd w:val="clear" w:color="auto" w:fill="EAF1FB"/>
        <w:spacing w:before="160"/>
      </w:pPr>
      <w:r>
        <w:rPr>
          <w:b/>
          <w:bCs/>
          <w:color w:val="0B3B7A"/>
        </w:rPr>
        <w:t>Ergebnis in einem Satz</w:t>
      </w:r>
    </w:p>
    <w:p w14:paraId="6E5D51CF" w14:textId="77777777" w:rsidR="006D4FF4" w:rsidRDefault="00000000">
      <w:pPr>
        <w:pBdr>
          <w:left w:val="single" w:sz="18" w:space="0" w:color="1A5FB4"/>
          <w:bottom w:val="single" w:sz="6" w:space="0" w:color="1A5FB4"/>
          <w:right w:val="single" w:sz="6" w:space="0" w:color="1A5FB4"/>
        </w:pBdr>
        <w:shd w:val="clear" w:color="auto" w:fill="EAF1FB"/>
        <w:spacing w:after="160"/>
      </w:pPr>
      <w:r>
        <w:rPr>
          <w:color w:val="0B3B7A"/>
          <w:sz w:val="20"/>
          <w:szCs w:val="20"/>
        </w:rPr>
        <w:t>Minimales Risiko nach der KI-VO, aber erhebliche Verstöße gegen Datenschutz- und Geheimnisschutzrecht.</w:t>
      </w:r>
    </w:p>
    <w:sectPr w:rsidR="006D4FF4">
      <w:headerReference w:type="default" r:id="rId7"/>
      <w:footerReference w:type="default" r:id="rId8"/>
      <w:pgSz w:w="11906" w:h="16838"/>
      <w:pgMar w:top="1133" w:right="1133" w:bottom="1020" w:left="1133" w:header="566" w:footer="56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5FCE12" w14:textId="77777777" w:rsidR="003C2D53" w:rsidRDefault="003C2D53">
      <w:pPr>
        <w:spacing w:line="240" w:lineRule="auto"/>
      </w:pPr>
      <w:r>
        <w:separator/>
      </w:r>
    </w:p>
  </w:endnote>
  <w:endnote w:type="continuationSeparator" w:id="0">
    <w:p w14:paraId="4A6197AF" w14:textId="77777777" w:rsidR="003C2D53" w:rsidRDefault="003C2D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ACA214" w14:textId="77777777" w:rsidR="006D4FF4" w:rsidRDefault="00000000">
    <w:pPr>
      <w:pBdr>
        <w:top w:val="single" w:sz="4" w:space="0" w:color="BBBBBB"/>
      </w:pBdr>
      <w:jc w:val="right"/>
    </w:pPr>
    <w:r>
      <w:rPr>
        <w:color w:val="777777"/>
        <w:sz w:val="16"/>
        <w:szCs w:val="16"/>
      </w:rPr>
      <w:t xml:space="preserve">Seite </w:t>
    </w:r>
    <w:r>
      <w:rPr>
        <w:color w:val="777777"/>
        <w:sz w:val="16"/>
        <w:szCs w:val="16"/>
      </w:rPr>
      <w:fldChar w:fldCharType="begin"/>
    </w:r>
    <w:r>
      <w:rPr>
        <w:color w:val="777777"/>
        <w:sz w:val="16"/>
        <w:szCs w:val="16"/>
      </w:rPr>
      <w:instrText>PAGE</w:instrText>
    </w:r>
    <w:r>
      <w:rPr>
        <w:color w:val="777777"/>
        <w:sz w:val="16"/>
        <w:szCs w:val="16"/>
      </w:rPr>
      <w:fldChar w:fldCharType="separate"/>
    </w:r>
    <w:r w:rsidR="005F785E">
      <w:rPr>
        <w:noProof/>
        <w:color w:val="777777"/>
        <w:sz w:val="16"/>
        <w:szCs w:val="16"/>
      </w:rPr>
      <w:t>5</w:t>
    </w:r>
    <w:r>
      <w:rPr>
        <w:color w:val="777777"/>
        <w:sz w:val="16"/>
        <w:szCs w:val="16"/>
      </w:rPr>
      <w:fldChar w:fldCharType="end"/>
    </w:r>
    <w:r>
      <w:rPr>
        <w:color w:val="777777"/>
        <w:sz w:val="16"/>
        <w:szCs w:val="16"/>
      </w:rPr>
      <w:t xml:space="preserve"> von </w:t>
    </w:r>
    <w:r>
      <w:rPr>
        <w:color w:val="777777"/>
        <w:sz w:val="16"/>
        <w:szCs w:val="16"/>
      </w:rPr>
      <w:fldChar w:fldCharType="begin"/>
    </w:r>
    <w:r>
      <w:rPr>
        <w:color w:val="777777"/>
        <w:sz w:val="16"/>
        <w:szCs w:val="16"/>
      </w:rPr>
      <w:instrText>NUMPAGES</w:instrText>
    </w:r>
    <w:r>
      <w:rPr>
        <w:color w:val="777777"/>
        <w:sz w:val="16"/>
        <w:szCs w:val="16"/>
      </w:rPr>
      <w:fldChar w:fldCharType="separate"/>
    </w:r>
    <w:r w:rsidR="005F785E">
      <w:rPr>
        <w:noProof/>
        <w:color w:val="777777"/>
        <w:sz w:val="16"/>
        <w:szCs w:val="16"/>
      </w:rPr>
      <w:t>1</w:t>
    </w:r>
    <w:r>
      <w:rPr>
        <w:color w:val="777777"/>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ED99DC" w14:textId="77777777" w:rsidR="003C2D53" w:rsidRDefault="003C2D53">
      <w:pPr>
        <w:spacing w:line="240" w:lineRule="auto"/>
      </w:pPr>
      <w:r>
        <w:separator/>
      </w:r>
    </w:p>
  </w:footnote>
  <w:footnote w:type="continuationSeparator" w:id="0">
    <w:p w14:paraId="4629719A" w14:textId="77777777" w:rsidR="003C2D53" w:rsidRDefault="003C2D5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139C10" w14:textId="77777777" w:rsidR="006D4FF4" w:rsidRDefault="00000000">
    <w:pPr>
      <w:pBdr>
        <w:bottom w:val="single" w:sz="4" w:space="0" w:color="BBBBBB"/>
      </w:pBdr>
      <w:jc w:val="right"/>
    </w:pPr>
    <w:r>
      <w:rPr>
        <w:color w:val="777777"/>
        <w:sz w:val="16"/>
        <w:szCs w:val="16"/>
      </w:rPr>
      <w:t>Prüffälle KI-VO · Dozentenfassung mit Musterlösungen · Stand 14.09.2026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5405F5D"/>
    <w:multiLevelType w:val="hybridMultilevel"/>
    <w:tmpl w:val="78FE1516"/>
    <w:lvl w:ilvl="0" w:tplc="5C186F66">
      <w:start w:val="1"/>
      <w:numFmt w:val="bullet"/>
      <w:lvlText w:val="●"/>
      <w:lvlJc w:val="left"/>
      <w:pPr>
        <w:ind w:left="720" w:hanging="360"/>
      </w:pPr>
    </w:lvl>
    <w:lvl w:ilvl="1" w:tplc="0756DB6C">
      <w:start w:val="1"/>
      <w:numFmt w:val="bullet"/>
      <w:lvlText w:val="○"/>
      <w:lvlJc w:val="left"/>
      <w:pPr>
        <w:ind w:left="1440" w:hanging="360"/>
      </w:pPr>
    </w:lvl>
    <w:lvl w:ilvl="2" w:tplc="5FA24776">
      <w:start w:val="1"/>
      <w:numFmt w:val="bullet"/>
      <w:lvlText w:val="■"/>
      <w:lvlJc w:val="left"/>
      <w:pPr>
        <w:ind w:left="2160" w:hanging="360"/>
      </w:pPr>
    </w:lvl>
    <w:lvl w:ilvl="3" w:tplc="EE12A608">
      <w:start w:val="1"/>
      <w:numFmt w:val="bullet"/>
      <w:lvlText w:val="●"/>
      <w:lvlJc w:val="left"/>
      <w:pPr>
        <w:ind w:left="2880" w:hanging="360"/>
      </w:pPr>
    </w:lvl>
    <w:lvl w:ilvl="4" w:tplc="25DE101E">
      <w:start w:val="1"/>
      <w:numFmt w:val="bullet"/>
      <w:lvlText w:val="○"/>
      <w:lvlJc w:val="left"/>
      <w:pPr>
        <w:ind w:left="3600" w:hanging="360"/>
      </w:pPr>
    </w:lvl>
    <w:lvl w:ilvl="5" w:tplc="CBAAC64E">
      <w:start w:val="1"/>
      <w:numFmt w:val="bullet"/>
      <w:lvlText w:val="■"/>
      <w:lvlJc w:val="left"/>
      <w:pPr>
        <w:ind w:left="4320" w:hanging="360"/>
      </w:pPr>
    </w:lvl>
    <w:lvl w:ilvl="6" w:tplc="5C129778">
      <w:start w:val="1"/>
      <w:numFmt w:val="bullet"/>
      <w:lvlText w:val="●"/>
      <w:lvlJc w:val="left"/>
      <w:pPr>
        <w:ind w:left="5040" w:hanging="360"/>
      </w:pPr>
    </w:lvl>
    <w:lvl w:ilvl="7" w:tplc="3B18667C">
      <w:start w:val="1"/>
      <w:numFmt w:val="bullet"/>
      <w:lvlText w:val="●"/>
      <w:lvlJc w:val="left"/>
      <w:pPr>
        <w:ind w:left="5760" w:hanging="360"/>
      </w:pPr>
    </w:lvl>
    <w:lvl w:ilvl="8" w:tplc="39F4A272">
      <w:start w:val="1"/>
      <w:numFmt w:val="bullet"/>
      <w:lvlText w:val="●"/>
      <w:lvlJc w:val="left"/>
      <w:pPr>
        <w:ind w:left="6480" w:hanging="360"/>
      </w:pPr>
    </w:lvl>
  </w:abstractNum>
  <w:abstractNum w:abstractNumId="1" w15:restartNumberingAfterBreak="0">
    <w:nsid w:val="62216232"/>
    <w:multiLevelType w:val="hybridMultilevel"/>
    <w:tmpl w:val="C50E3E3C"/>
    <w:lvl w:ilvl="0" w:tplc="0F962F62">
      <w:start w:val="1"/>
      <w:numFmt w:val="bullet"/>
      <w:lvlText w:val="•"/>
      <w:lvlJc w:val="left"/>
      <w:pPr>
        <w:ind w:left="360" w:hanging="260"/>
      </w:pPr>
      <w:rPr>
        <w:rFonts w:ascii="Arial" w:eastAsia="Arial" w:hAnsi="Arial" w:cs="Arial"/>
        <w:sz w:val="21"/>
        <w:szCs w:val="21"/>
      </w:rPr>
    </w:lvl>
    <w:lvl w:ilvl="1" w:tplc="0C58E04C">
      <w:start w:val="1"/>
      <w:numFmt w:val="bullet"/>
      <w:lvlText w:val="–"/>
      <w:lvlJc w:val="left"/>
      <w:pPr>
        <w:ind w:left="720" w:hanging="260"/>
      </w:pPr>
      <w:rPr>
        <w:rFonts w:ascii="Arial" w:eastAsia="Arial" w:hAnsi="Arial" w:cs="Arial"/>
        <w:sz w:val="21"/>
        <w:szCs w:val="21"/>
      </w:rPr>
    </w:lvl>
    <w:lvl w:ilvl="2" w:tplc="525C28DC">
      <w:numFmt w:val="decimal"/>
      <w:lvlText w:val=""/>
      <w:lvlJc w:val="left"/>
    </w:lvl>
    <w:lvl w:ilvl="3" w:tplc="ED962CB6">
      <w:numFmt w:val="decimal"/>
      <w:lvlText w:val=""/>
      <w:lvlJc w:val="left"/>
    </w:lvl>
    <w:lvl w:ilvl="4" w:tplc="C35AE76A">
      <w:numFmt w:val="decimal"/>
      <w:lvlText w:val=""/>
      <w:lvlJc w:val="left"/>
    </w:lvl>
    <w:lvl w:ilvl="5" w:tplc="58C0517E">
      <w:numFmt w:val="decimal"/>
      <w:lvlText w:val=""/>
      <w:lvlJc w:val="left"/>
    </w:lvl>
    <w:lvl w:ilvl="6" w:tplc="C6D2F0BC">
      <w:numFmt w:val="decimal"/>
      <w:lvlText w:val=""/>
      <w:lvlJc w:val="left"/>
    </w:lvl>
    <w:lvl w:ilvl="7" w:tplc="DC58CD1C">
      <w:numFmt w:val="decimal"/>
      <w:lvlText w:val=""/>
      <w:lvlJc w:val="left"/>
    </w:lvl>
    <w:lvl w:ilvl="8" w:tplc="4E8A704E">
      <w:numFmt w:val="decimal"/>
      <w:lvlText w:val=""/>
      <w:lvlJc w:val="left"/>
    </w:lvl>
  </w:abstractNum>
  <w:num w:numId="1" w16cid:durableId="1428573712">
    <w:abstractNumId w:val="0"/>
    <w:lvlOverride w:ilvl="0">
      <w:startOverride w:val="1"/>
    </w:lvlOverride>
  </w:num>
  <w:num w:numId="2" w16cid:durableId="705105158">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displayBackgroundShape/>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FF4"/>
    <w:rsid w:val="003C2D53"/>
    <w:rsid w:val="005F785E"/>
    <w:rsid w:val="006D4FF4"/>
    <w:rsid w:val="00C474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1234FA7E"/>
  <w15:docId w15:val="{E2C56A56-3BE5-164B-A3FC-479D9C876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1"/>
        <w:szCs w:val="21"/>
        <w:lang w:val="de-DE"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unhideWhenUsed/>
    <w:qFormat/>
    <w:pPr>
      <w:outlineLvl w:val="1"/>
    </w:pPr>
    <w:rPr>
      <w:color w:val="2E74B5"/>
      <w:sz w:val="26"/>
      <w:szCs w:val="26"/>
    </w:rPr>
  </w:style>
  <w:style w:type="paragraph" w:styleId="berschrift3">
    <w:name w:val="heading 3"/>
    <w:uiPriority w:val="9"/>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pPr>
      <w:spacing w:line="240" w:lineRule="auto"/>
    </w:pPr>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pPr>
      <w:spacing w:line="240" w:lineRule="auto"/>
    </w:pPr>
    <w:rPr>
      <w:sz w:val="20"/>
      <w:szCs w:val="20"/>
    </w:rPr>
  </w:style>
  <w:style w:type="character" w:customStyle="1" w:styleId="EndnotentextZchn">
    <w:name w:val="Endnotentext Zchn"/>
    <w:link w:val="Endnotentext"/>
    <w:uiPriority w:val="99"/>
    <w:semiHidden/>
    <w:unhideWhenUsed/>
    <w:rPr>
      <w:sz w:val="20"/>
      <w:szCs w:val="20"/>
    </w:rPr>
  </w:style>
  <w:style w:type="paragraph" w:styleId="Verzeichnis1">
    <w:name w:val="toc 1"/>
    <w:basedOn w:val="Standard"/>
    <w:next w:val="Standard"/>
    <w:autoRedefine/>
    <w:uiPriority w:val="39"/>
    <w:unhideWhenUsed/>
    <w:rsid w:val="005F785E"/>
    <w:pPr>
      <w:spacing w:after="100"/>
    </w:pPr>
  </w:style>
  <w:style w:type="paragraph" w:styleId="Verzeichnis2">
    <w:name w:val="toc 2"/>
    <w:basedOn w:val="Standard"/>
    <w:next w:val="Standard"/>
    <w:autoRedefine/>
    <w:uiPriority w:val="39"/>
    <w:unhideWhenUsed/>
    <w:rsid w:val="005F785E"/>
    <w:pPr>
      <w:spacing w:after="100"/>
      <w:ind w:left="2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6608</Words>
  <Characters>41637</Characters>
  <Application>Microsoft Office Word</Application>
  <DocSecurity>0</DocSecurity>
  <Lines>346</Lines>
  <Paragraphs>96</Paragraphs>
  <ScaleCrop>false</ScaleCrop>
  <Company/>
  <LinksUpToDate>false</LinksUpToDate>
  <CharactersWithSpaces>48149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Prüffälle KI-VO – Musterlösungen</dc:title>
  <dc:creator>Prüffälle KI-VO</dc:creator>
  <dc:description>Dozentenfassung mit Musterlösungen, Stolpersteinen und Durchführungshinweisen</dc:description>
  <cp:lastModifiedBy>Patrick Friedl</cp:lastModifiedBy>
  <cp:revision>2</cp:revision>
  <dcterms:created xsi:type="dcterms:W3CDTF">2026-09-14T17:12:00Z</dcterms:created>
  <dcterms:modified xsi:type="dcterms:W3CDTF">2026-09-14T22:43:00Z</dcterms:modified>
</cp:coreProperties>
</file>